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FF9AF9" w14:textId="02E06327" w:rsidR="00B978E0" w:rsidRPr="00E847D0" w:rsidRDefault="00B978E0" w:rsidP="00B978E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Pr>
          <w:rFonts w:ascii="Arial" w:hAnsi="Arial" w:cs="Arial"/>
          <w:b/>
          <w:bCs/>
        </w:rPr>
        <w:t>1-e</w:t>
      </w:r>
      <w:r w:rsidR="00D42D6A">
        <w:rPr>
          <w:rFonts w:ascii="Arial" w:hAnsi="Arial" w:cs="Arial"/>
          <w:b/>
          <w:bCs/>
        </w:rPr>
        <w:t xml:space="preserve">                                                                   </w:t>
      </w:r>
      <w:r w:rsidRPr="00BD32F5">
        <w:rPr>
          <w:rFonts w:ascii="Arial" w:hAnsi="Arial" w:cs="Arial"/>
          <w:b/>
          <w:bCs/>
        </w:rPr>
        <w:t>R1-2</w:t>
      </w:r>
      <w:r>
        <w:rPr>
          <w:rFonts w:ascii="Arial" w:hAnsi="Arial" w:cs="Arial"/>
          <w:b/>
          <w:bCs/>
        </w:rPr>
        <w:t>004221</w:t>
      </w:r>
    </w:p>
    <w:p w14:paraId="75E93312" w14:textId="77777777" w:rsidR="00B978E0" w:rsidRPr="00D66952" w:rsidRDefault="00B978E0" w:rsidP="00B978E0">
      <w:pPr>
        <w:tabs>
          <w:tab w:val="center" w:pos="4536"/>
          <w:tab w:val="right" w:pos="9072"/>
        </w:tabs>
        <w:rPr>
          <w:rFonts w:ascii="Arial" w:eastAsia="MS Mincho" w:hAnsi="Arial" w:cs="Arial"/>
          <w:b/>
          <w:bCs/>
          <w:lang w:val="en-GB" w:eastAsia="ja-JP"/>
        </w:rPr>
      </w:pPr>
      <w:r w:rsidRPr="00E847D0">
        <w:rPr>
          <w:rFonts w:ascii="Arial" w:eastAsia="MS Mincho" w:hAnsi="Arial" w:cs="Arial"/>
          <w:b/>
          <w:bCs/>
          <w:lang w:eastAsia="ja-JP"/>
        </w:rPr>
        <w:t xml:space="preserve">e-Meeting, </w:t>
      </w:r>
      <w:r w:rsidRPr="00D66952">
        <w:rPr>
          <w:rFonts w:ascii="Arial" w:eastAsia="MS Mincho" w:hAnsi="Arial" w:cs="Arial"/>
          <w:b/>
          <w:bCs/>
          <w:lang w:val="en-GB" w:eastAsia="ja-JP"/>
        </w:rPr>
        <w:t>May 25</w:t>
      </w:r>
      <w:r w:rsidRPr="00D66952">
        <w:rPr>
          <w:rFonts w:ascii="Arial" w:eastAsia="MS Mincho" w:hAnsi="Arial" w:cs="Arial"/>
          <w:b/>
          <w:bCs/>
          <w:vertAlign w:val="superscript"/>
          <w:lang w:val="en-GB" w:eastAsia="ja-JP"/>
        </w:rPr>
        <w:t>th</w:t>
      </w:r>
      <w:r w:rsidRPr="00D66952">
        <w:rPr>
          <w:rFonts w:ascii="Arial" w:eastAsia="MS Mincho" w:hAnsi="Arial" w:cs="Arial"/>
          <w:b/>
          <w:bCs/>
          <w:lang w:val="en-GB" w:eastAsia="ja-JP"/>
        </w:rPr>
        <w:t xml:space="preserve"> – June 5</w:t>
      </w:r>
      <w:r w:rsidRPr="00D66952">
        <w:rPr>
          <w:rFonts w:ascii="Arial" w:eastAsia="MS Mincho" w:hAnsi="Arial" w:cs="Arial"/>
          <w:b/>
          <w:bCs/>
          <w:vertAlign w:val="superscript"/>
          <w:lang w:val="en-GB" w:eastAsia="ja-JP"/>
        </w:rPr>
        <w:t>th</w:t>
      </w:r>
      <w:r w:rsidRPr="00D66952">
        <w:rPr>
          <w:rFonts w:ascii="Arial" w:eastAsia="MS Mincho" w:hAnsi="Arial" w:cs="Arial"/>
          <w:b/>
          <w:bCs/>
          <w:lang w:val="en-GB" w:eastAsia="ja-JP"/>
        </w:rPr>
        <w:t>, 2020</w:t>
      </w:r>
    </w:p>
    <w:p w14:paraId="0E593A0B" w14:textId="77777777" w:rsidR="00B978E0" w:rsidRPr="005811A6" w:rsidRDefault="00B978E0" w:rsidP="00B978E0">
      <w:pPr>
        <w:tabs>
          <w:tab w:val="center" w:pos="4536"/>
          <w:tab w:val="right" w:pos="9072"/>
        </w:tabs>
        <w:rPr>
          <w:rFonts w:ascii="Arial" w:eastAsia="MS Mincho" w:hAnsi="Arial" w:cs="Arial"/>
          <w:b/>
          <w:bCs/>
          <w:lang w:val="en-GB" w:eastAsia="ja-JP"/>
        </w:rPr>
      </w:pPr>
    </w:p>
    <w:p w14:paraId="10147F42" w14:textId="77777777" w:rsidR="00B978E0" w:rsidRPr="00315C6E" w:rsidRDefault="00B978E0" w:rsidP="00B978E0">
      <w:pPr>
        <w:pStyle w:val="3GPPHeader"/>
        <w:rPr>
          <w:sz w:val="22"/>
          <w:szCs w:val="22"/>
        </w:rPr>
      </w:pPr>
      <w:r w:rsidRPr="00315C6E">
        <w:rPr>
          <w:sz w:val="22"/>
          <w:szCs w:val="22"/>
        </w:rPr>
        <w:t>Agenda Item:</w:t>
      </w:r>
      <w:r w:rsidRPr="00315C6E">
        <w:rPr>
          <w:sz w:val="22"/>
          <w:szCs w:val="22"/>
        </w:rPr>
        <w:tab/>
      </w:r>
      <w:r>
        <w:rPr>
          <w:sz w:val="22"/>
          <w:szCs w:val="22"/>
        </w:rPr>
        <w:t>7.2.5.1</w:t>
      </w:r>
    </w:p>
    <w:p w14:paraId="7D62B07C" w14:textId="77777777" w:rsidR="00B978E0" w:rsidRPr="00315C6E" w:rsidRDefault="00B978E0" w:rsidP="00B978E0">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E197703" w14:textId="77777777" w:rsidR="00B978E0" w:rsidRDefault="00B978E0" w:rsidP="00B978E0">
      <w:pPr>
        <w:pStyle w:val="3GPPHeader"/>
        <w:rPr>
          <w:sz w:val="22"/>
          <w:szCs w:val="22"/>
        </w:rPr>
      </w:pPr>
      <w:r w:rsidRPr="00315C6E">
        <w:rPr>
          <w:sz w:val="22"/>
          <w:szCs w:val="22"/>
        </w:rPr>
        <w:t>Title:</w:t>
      </w:r>
      <w:r w:rsidRPr="00315C6E">
        <w:rPr>
          <w:sz w:val="22"/>
          <w:szCs w:val="22"/>
        </w:rPr>
        <w:tab/>
      </w:r>
      <w:bookmarkStart w:id="0" w:name="OLE_LINK1"/>
      <w:r w:rsidRPr="00AE0CC6">
        <w:rPr>
          <w:sz w:val="22"/>
          <w:szCs w:val="22"/>
        </w:rPr>
        <w:t xml:space="preserve">Remaining Issues on PDCCH Enhancements for </w:t>
      </w:r>
      <w:proofErr w:type="spellStart"/>
      <w:r w:rsidRPr="00AE0CC6">
        <w:rPr>
          <w:sz w:val="22"/>
          <w:szCs w:val="22"/>
        </w:rPr>
        <w:t>eURLLC</w:t>
      </w:r>
      <w:bookmarkEnd w:id="0"/>
      <w:proofErr w:type="spellEnd"/>
    </w:p>
    <w:p w14:paraId="41F79292" w14:textId="77777777" w:rsidR="00B978E0" w:rsidRPr="00315C6E" w:rsidRDefault="00B978E0" w:rsidP="00B978E0">
      <w:pPr>
        <w:pStyle w:val="3GPPHeader"/>
        <w:rPr>
          <w:sz w:val="22"/>
          <w:szCs w:val="22"/>
        </w:rPr>
      </w:pPr>
      <w:r>
        <w:rPr>
          <w:sz w:val="22"/>
          <w:szCs w:val="22"/>
        </w:rPr>
        <w:t>Document for:</w:t>
      </w:r>
      <w:r>
        <w:rPr>
          <w:sz w:val="22"/>
          <w:szCs w:val="22"/>
        </w:rPr>
        <w:tab/>
        <w:t>Discussion/</w:t>
      </w:r>
      <w:r w:rsidRPr="00315C6E">
        <w:rPr>
          <w:sz w:val="22"/>
          <w:szCs w:val="22"/>
        </w:rPr>
        <w:t>Decision</w:t>
      </w:r>
    </w:p>
    <w:p w14:paraId="51BEB4C5" w14:textId="77777777" w:rsidR="00B978E0" w:rsidRPr="00BF128D" w:rsidRDefault="00B978E0" w:rsidP="00B978E0">
      <w:pPr>
        <w:pStyle w:val="Heading1"/>
        <w:jc w:val="both"/>
      </w:pPr>
      <w:r w:rsidRPr="00315C6E">
        <w:t>Introduction</w:t>
      </w:r>
    </w:p>
    <w:p w14:paraId="1C29B938" w14:textId="77777777" w:rsidR="00B978E0" w:rsidRDefault="00B978E0" w:rsidP="00B978E0">
      <w:pPr>
        <w:pStyle w:val="0Maintext"/>
        <w:spacing w:line="240" w:lineRule="auto"/>
        <w:ind w:firstLine="0"/>
        <w:rPr>
          <w:lang w:val="en-US"/>
        </w:rPr>
      </w:pPr>
      <w:r>
        <w:rPr>
          <w:lang w:val="en-US"/>
        </w:rPr>
        <w:t xml:space="preserve">In Rel-16 </w:t>
      </w:r>
      <w:proofErr w:type="spellStart"/>
      <w:r>
        <w:rPr>
          <w:lang w:val="en-US"/>
        </w:rPr>
        <w:t>eURRLC</w:t>
      </w:r>
      <w:proofErr w:type="spellEnd"/>
      <w:r>
        <w:rPr>
          <w:lang w:val="en-US"/>
        </w:rPr>
        <w:t xml:space="preserve">, the agenda item PDCCH enhancements for </w:t>
      </w:r>
      <w:proofErr w:type="spellStart"/>
      <w:r>
        <w:rPr>
          <w:lang w:val="en-US"/>
        </w:rPr>
        <w:t>eURLLC</w:t>
      </w:r>
      <w:proofErr w:type="spellEnd"/>
      <w:r>
        <w:rPr>
          <w:lang w:val="en-US"/>
        </w:rPr>
        <w:t xml:space="preserve"> addresses</w:t>
      </w:r>
      <w:r w:rsidRPr="009041E5">
        <w:rPr>
          <w:lang w:val="en-US"/>
        </w:rPr>
        <w:t xml:space="preserve"> </w:t>
      </w:r>
      <w:r>
        <w:rPr>
          <w:lang w:val="en-US"/>
        </w:rPr>
        <w:t>Rel-16 uplink and downlink DCI format design and Rel-16 PDCCH monitoring enhancements necessary for enhanced URLLC</w:t>
      </w:r>
      <w:r>
        <w:rPr>
          <w:lang w:val="en-US" w:eastAsia="zh-CN"/>
        </w:rPr>
        <w:t xml:space="preserve"> and IIOT operation.</w:t>
      </w:r>
    </w:p>
    <w:p w14:paraId="07B3500C" w14:textId="77777777" w:rsidR="00B978E0" w:rsidRPr="002B5FC9" w:rsidRDefault="00B978E0" w:rsidP="00B978E0">
      <w:pPr>
        <w:pStyle w:val="0Maintext"/>
        <w:spacing w:after="120" w:afterAutospacing="0" w:line="240" w:lineRule="auto"/>
        <w:ind w:firstLine="0"/>
        <w:rPr>
          <w:rFonts w:eastAsia="Batang"/>
          <w:i/>
          <w:color w:val="000000"/>
          <w:kern w:val="2"/>
        </w:rPr>
      </w:pPr>
      <w:r w:rsidRPr="00D972DA">
        <w:t xml:space="preserve">In this contribution, we discuss the open issues </w:t>
      </w:r>
      <w:r>
        <w:t xml:space="preserve">from RAN1 #101-bis-e </w:t>
      </w:r>
      <w:r w:rsidRPr="00D972DA">
        <w:t xml:space="preserve">related </w:t>
      </w:r>
      <w:r>
        <w:t>to increased PDCCH monitoring</w:t>
      </w:r>
      <w:r w:rsidRPr="00D972DA">
        <w:t xml:space="preserve"> </w:t>
      </w:r>
      <w:r>
        <w:t xml:space="preserve">capability </w:t>
      </w:r>
      <w:r w:rsidRPr="00D972DA">
        <w:t xml:space="preserve">and provide possible solutions to complete the </w:t>
      </w:r>
      <w:r>
        <w:t>PDCCH enhancement</w:t>
      </w:r>
      <w:r w:rsidRPr="00D972DA">
        <w:t xml:space="preserve"> design</w:t>
      </w:r>
      <w:r>
        <w:t>.</w:t>
      </w:r>
    </w:p>
    <w:p w14:paraId="05128067" w14:textId="77777777" w:rsidR="00B978E0" w:rsidRPr="009C0131" w:rsidRDefault="00B978E0" w:rsidP="00B978E0">
      <w:pPr>
        <w:pStyle w:val="Heading1"/>
        <w:rPr>
          <w:i/>
          <w:iCs/>
          <w:lang w:val="en-GB"/>
        </w:rPr>
      </w:pPr>
      <w:r w:rsidRPr="009C0131">
        <w:rPr>
          <w:iCs/>
        </w:rPr>
        <w:t xml:space="preserve">Capability Scaling for Carrier Aggregation </w:t>
      </w:r>
    </w:p>
    <w:p w14:paraId="31D4B10E" w14:textId="77777777" w:rsidR="00B978E0" w:rsidRDefault="00B978E0" w:rsidP="00B978E0">
      <w:pPr>
        <w:jc w:val="both"/>
        <w:rPr>
          <w:rFonts w:eastAsia="Batang"/>
          <w:iCs/>
          <w:color w:val="000000"/>
          <w:kern w:val="2"/>
          <w:sz w:val="20"/>
          <w:szCs w:val="20"/>
        </w:rPr>
      </w:pPr>
      <w:r w:rsidRPr="009C0131">
        <w:rPr>
          <w:rFonts w:eastAsia="Batang"/>
          <w:iCs/>
          <w:color w:val="000000"/>
          <w:kern w:val="2"/>
          <w:sz w:val="20"/>
          <w:szCs w:val="20"/>
          <w:lang w:val="en-GB"/>
        </w:rPr>
        <w:t xml:space="preserve">In RAN1 </w:t>
      </w:r>
      <w:r>
        <w:rPr>
          <w:rFonts w:eastAsia="Batang"/>
          <w:iCs/>
          <w:color w:val="000000"/>
          <w:kern w:val="2"/>
          <w:sz w:val="20"/>
          <w:szCs w:val="20"/>
          <w:lang w:val="en-GB"/>
        </w:rPr>
        <w:t xml:space="preserve">#100-e </w:t>
      </w:r>
      <w:r>
        <w:rPr>
          <w:rFonts w:eastAsia="Batang"/>
          <w:iCs/>
          <w:color w:val="000000"/>
          <w:kern w:val="2"/>
          <w:sz w:val="20"/>
          <w:szCs w:val="20"/>
          <w:lang w:val="en-GB"/>
        </w:rPr>
        <w:fldChar w:fldCharType="begin"/>
      </w:r>
      <w:r>
        <w:rPr>
          <w:rFonts w:eastAsia="Batang"/>
          <w:iCs/>
          <w:color w:val="000000"/>
          <w:kern w:val="2"/>
          <w:sz w:val="20"/>
          <w:szCs w:val="20"/>
          <w:lang w:val="en-GB"/>
        </w:rPr>
        <w:instrText xml:space="preserve"> REF _Ref40415572 \r \h </w:instrText>
      </w:r>
      <w:r>
        <w:rPr>
          <w:rFonts w:eastAsia="Batang"/>
          <w:iCs/>
          <w:color w:val="000000"/>
          <w:kern w:val="2"/>
          <w:sz w:val="20"/>
          <w:szCs w:val="20"/>
          <w:lang w:val="en-GB"/>
        </w:rPr>
      </w:r>
      <w:r>
        <w:rPr>
          <w:rFonts w:eastAsia="Batang"/>
          <w:iCs/>
          <w:color w:val="000000"/>
          <w:kern w:val="2"/>
          <w:sz w:val="20"/>
          <w:szCs w:val="20"/>
          <w:lang w:val="en-GB"/>
        </w:rPr>
        <w:fldChar w:fldCharType="separate"/>
      </w:r>
      <w:r>
        <w:rPr>
          <w:rFonts w:eastAsia="Batang"/>
          <w:iCs/>
          <w:color w:val="000000"/>
          <w:kern w:val="2"/>
          <w:sz w:val="20"/>
          <w:szCs w:val="20"/>
          <w:lang w:val="en-GB"/>
        </w:rPr>
        <w:t>[2]</w:t>
      </w:r>
      <w:r>
        <w:rPr>
          <w:rFonts w:eastAsia="Batang"/>
          <w:iCs/>
          <w:color w:val="000000"/>
          <w:kern w:val="2"/>
          <w:sz w:val="20"/>
          <w:szCs w:val="20"/>
          <w:lang w:val="en-GB"/>
        </w:rPr>
        <w:fldChar w:fldCharType="end"/>
      </w:r>
      <w:r>
        <w:rPr>
          <w:rFonts w:eastAsia="Batang"/>
          <w:iCs/>
          <w:color w:val="000000"/>
          <w:kern w:val="2"/>
          <w:sz w:val="20"/>
          <w:szCs w:val="20"/>
          <w:lang w:val="en-GB"/>
        </w:rPr>
        <w:t xml:space="preserve"> and RAN1 #</w:t>
      </w:r>
      <w:r w:rsidRPr="009C0131">
        <w:rPr>
          <w:rFonts w:eastAsia="Batang"/>
          <w:iCs/>
          <w:color w:val="000000"/>
          <w:kern w:val="2"/>
          <w:sz w:val="20"/>
          <w:szCs w:val="20"/>
          <w:lang w:val="en-GB"/>
        </w:rPr>
        <w:t>10</w:t>
      </w:r>
      <w:r>
        <w:rPr>
          <w:rFonts w:eastAsia="Batang"/>
          <w:iCs/>
          <w:color w:val="000000"/>
          <w:kern w:val="2"/>
          <w:sz w:val="20"/>
          <w:szCs w:val="20"/>
          <w:lang w:val="en-GB"/>
        </w:rPr>
        <w:t>1-bis</w:t>
      </w:r>
      <w:r w:rsidRPr="009C0131">
        <w:rPr>
          <w:rFonts w:eastAsia="Batang"/>
          <w:iCs/>
          <w:color w:val="000000"/>
          <w:kern w:val="2"/>
          <w:sz w:val="20"/>
          <w:szCs w:val="20"/>
          <w:lang w:val="en-GB"/>
        </w:rPr>
        <w:t>-e</w:t>
      </w:r>
      <w:r>
        <w:rPr>
          <w:rFonts w:eastAsia="Batang"/>
          <w:iCs/>
          <w:color w:val="000000"/>
          <w:kern w:val="2"/>
          <w:sz w:val="20"/>
          <w:szCs w:val="20"/>
          <w:lang w:val="en-GB"/>
        </w:rPr>
        <w:t xml:space="preserve"> </w:t>
      </w:r>
      <w:r>
        <w:rPr>
          <w:rFonts w:eastAsia="Batang"/>
          <w:iCs/>
          <w:color w:val="000000"/>
          <w:kern w:val="2"/>
          <w:sz w:val="20"/>
          <w:szCs w:val="20"/>
          <w:lang w:val="en-GB"/>
        </w:rPr>
        <w:fldChar w:fldCharType="begin"/>
      </w:r>
      <w:r>
        <w:rPr>
          <w:rFonts w:eastAsia="Batang"/>
          <w:iCs/>
          <w:color w:val="000000"/>
          <w:kern w:val="2"/>
          <w:sz w:val="20"/>
          <w:szCs w:val="20"/>
          <w:lang w:val="en-GB"/>
        </w:rPr>
        <w:instrText xml:space="preserve"> REF _Ref40415580 \r \h </w:instrText>
      </w:r>
      <w:r>
        <w:rPr>
          <w:rFonts w:eastAsia="Batang"/>
          <w:iCs/>
          <w:color w:val="000000"/>
          <w:kern w:val="2"/>
          <w:sz w:val="20"/>
          <w:szCs w:val="20"/>
          <w:lang w:val="en-GB"/>
        </w:rPr>
      </w:r>
      <w:r>
        <w:rPr>
          <w:rFonts w:eastAsia="Batang"/>
          <w:iCs/>
          <w:color w:val="000000"/>
          <w:kern w:val="2"/>
          <w:sz w:val="20"/>
          <w:szCs w:val="20"/>
          <w:lang w:val="en-GB"/>
        </w:rPr>
        <w:fldChar w:fldCharType="separate"/>
      </w:r>
      <w:r>
        <w:rPr>
          <w:rFonts w:eastAsia="Batang"/>
          <w:iCs/>
          <w:color w:val="000000"/>
          <w:kern w:val="2"/>
          <w:sz w:val="20"/>
          <w:szCs w:val="20"/>
          <w:lang w:val="en-GB"/>
        </w:rPr>
        <w:t>[3]</w:t>
      </w:r>
      <w:r>
        <w:rPr>
          <w:rFonts w:eastAsia="Batang"/>
          <w:iCs/>
          <w:color w:val="000000"/>
          <w:kern w:val="2"/>
          <w:sz w:val="20"/>
          <w:szCs w:val="20"/>
          <w:lang w:val="en-GB"/>
        </w:rPr>
        <w:fldChar w:fldCharType="end"/>
      </w:r>
      <w:r w:rsidRPr="009C0131">
        <w:rPr>
          <w:rFonts w:eastAsia="Batang"/>
          <w:iCs/>
          <w:color w:val="000000"/>
          <w:kern w:val="2"/>
          <w:sz w:val="20"/>
          <w:szCs w:val="20"/>
          <w:lang w:val="en-GB"/>
        </w:rPr>
        <w:t xml:space="preserve">, there were extensive discussions on </w:t>
      </w:r>
      <w:r w:rsidRPr="009C0131">
        <w:rPr>
          <w:rFonts w:eastAsia="Batang"/>
          <w:iCs/>
          <w:color w:val="000000"/>
          <w:kern w:val="2"/>
          <w:sz w:val="20"/>
          <w:szCs w:val="20"/>
        </w:rPr>
        <w:t>how to handle the CA case when the reported capability is less than the actual configured number of CCs</w:t>
      </w:r>
      <w:r>
        <w:rPr>
          <w:rFonts w:eastAsia="Batang"/>
          <w:iCs/>
          <w:color w:val="000000"/>
          <w:kern w:val="2"/>
          <w:sz w:val="20"/>
          <w:szCs w:val="20"/>
        </w:rPr>
        <w:fldChar w:fldCharType="begin"/>
      </w:r>
      <w:r>
        <w:rPr>
          <w:rFonts w:eastAsia="Batang"/>
          <w:iCs/>
          <w:color w:val="000000"/>
          <w:kern w:val="2"/>
          <w:sz w:val="20"/>
          <w:szCs w:val="20"/>
        </w:rPr>
        <w:instrText xml:space="preserve"> REF _Ref37258273 \r \h </w:instrText>
      </w:r>
      <w:r>
        <w:rPr>
          <w:rFonts w:eastAsia="Batang"/>
          <w:iCs/>
          <w:color w:val="000000"/>
          <w:kern w:val="2"/>
          <w:sz w:val="20"/>
          <w:szCs w:val="20"/>
        </w:rPr>
      </w:r>
      <w:r>
        <w:rPr>
          <w:rFonts w:eastAsia="Batang"/>
          <w:iCs/>
          <w:color w:val="000000"/>
          <w:kern w:val="2"/>
          <w:sz w:val="20"/>
          <w:szCs w:val="20"/>
        </w:rPr>
        <w:fldChar w:fldCharType="end"/>
      </w:r>
      <w:r w:rsidRPr="009C0131">
        <w:rPr>
          <w:rFonts w:eastAsia="Batang"/>
          <w:iCs/>
          <w:color w:val="000000"/>
          <w:kern w:val="2"/>
          <w:sz w:val="20"/>
          <w:szCs w:val="20"/>
        </w:rPr>
        <w:t>.</w:t>
      </w:r>
      <w:r>
        <w:rPr>
          <w:rFonts w:eastAsia="Batang"/>
          <w:iCs/>
          <w:color w:val="000000"/>
          <w:kern w:val="2"/>
          <w:sz w:val="20"/>
          <w:szCs w:val="20"/>
        </w:rPr>
        <w:t xml:space="preserve"> An agreement on the definition of aligned and non-aligned spans was made with an associated TP </w:t>
      </w:r>
      <w:r>
        <w:rPr>
          <w:rFonts w:eastAsia="Batang"/>
          <w:iCs/>
          <w:color w:val="000000"/>
          <w:kern w:val="2"/>
          <w:sz w:val="20"/>
          <w:szCs w:val="20"/>
        </w:rPr>
        <w:fldChar w:fldCharType="begin"/>
      </w:r>
      <w:r>
        <w:rPr>
          <w:rFonts w:eastAsia="Batang"/>
          <w:iCs/>
          <w:color w:val="000000"/>
          <w:kern w:val="2"/>
          <w:sz w:val="20"/>
          <w:szCs w:val="20"/>
        </w:rPr>
        <w:instrText xml:space="preserve"> REF _Ref40415887 \r \h </w:instrText>
      </w:r>
      <w:r>
        <w:rPr>
          <w:rFonts w:eastAsia="Batang"/>
          <w:iCs/>
          <w:color w:val="000000"/>
          <w:kern w:val="2"/>
          <w:sz w:val="20"/>
          <w:szCs w:val="20"/>
        </w:rPr>
      </w:r>
      <w:r>
        <w:rPr>
          <w:rFonts w:eastAsia="Batang"/>
          <w:iCs/>
          <w:color w:val="000000"/>
          <w:kern w:val="2"/>
          <w:sz w:val="20"/>
          <w:szCs w:val="20"/>
        </w:rPr>
        <w:fldChar w:fldCharType="separate"/>
      </w:r>
      <w:r>
        <w:rPr>
          <w:rFonts w:eastAsia="Batang"/>
          <w:iCs/>
          <w:color w:val="000000"/>
          <w:kern w:val="2"/>
          <w:sz w:val="20"/>
          <w:szCs w:val="20"/>
        </w:rPr>
        <w:t>[4]</w:t>
      </w:r>
      <w:r>
        <w:rPr>
          <w:rFonts w:eastAsia="Batang"/>
          <w:iCs/>
          <w:color w:val="000000"/>
          <w:kern w:val="2"/>
          <w:sz w:val="20"/>
          <w:szCs w:val="20"/>
        </w:rPr>
        <w:fldChar w:fldCharType="end"/>
      </w:r>
      <w:r>
        <w:rPr>
          <w:rFonts w:eastAsia="Batang"/>
          <w:iCs/>
          <w:color w:val="000000"/>
          <w:kern w:val="2"/>
          <w:sz w:val="20"/>
          <w:szCs w:val="20"/>
        </w:rPr>
        <w:t xml:space="preserve"> that was captured in 38.213</w:t>
      </w:r>
      <w:r>
        <w:rPr>
          <w:rFonts w:eastAsia="Batang"/>
          <w:iCs/>
          <w:color w:val="000000"/>
          <w:kern w:val="2"/>
          <w:sz w:val="20"/>
          <w:szCs w:val="20"/>
        </w:rPr>
        <w:fldChar w:fldCharType="begin"/>
      </w:r>
      <w:r>
        <w:rPr>
          <w:rFonts w:eastAsia="Batang"/>
          <w:iCs/>
          <w:color w:val="000000"/>
          <w:kern w:val="2"/>
          <w:sz w:val="20"/>
          <w:szCs w:val="20"/>
        </w:rPr>
        <w:instrText xml:space="preserve"> REF _Ref40415887 \r \h </w:instrText>
      </w:r>
      <w:r>
        <w:rPr>
          <w:rFonts w:eastAsia="Batang"/>
          <w:iCs/>
          <w:color w:val="000000"/>
          <w:kern w:val="2"/>
          <w:sz w:val="20"/>
          <w:szCs w:val="20"/>
        </w:rPr>
      </w:r>
      <w:r>
        <w:rPr>
          <w:rFonts w:eastAsia="Batang"/>
          <w:iCs/>
          <w:color w:val="000000"/>
          <w:kern w:val="2"/>
          <w:sz w:val="20"/>
          <w:szCs w:val="20"/>
        </w:rPr>
        <w:fldChar w:fldCharType="end"/>
      </w:r>
      <w:r>
        <w:rPr>
          <w:rFonts w:eastAsia="Batang"/>
          <w:iCs/>
          <w:color w:val="000000"/>
          <w:kern w:val="2"/>
          <w:sz w:val="20"/>
          <w:szCs w:val="20"/>
        </w:rPr>
        <w:t xml:space="preserve"> </w:t>
      </w:r>
      <w:r>
        <w:rPr>
          <w:rFonts w:eastAsia="Batang"/>
          <w:iCs/>
          <w:color w:val="000000"/>
          <w:kern w:val="2"/>
          <w:sz w:val="20"/>
          <w:szCs w:val="20"/>
        </w:rPr>
        <w:fldChar w:fldCharType="begin"/>
      </w:r>
      <w:r>
        <w:rPr>
          <w:rFonts w:eastAsia="Batang"/>
          <w:iCs/>
          <w:color w:val="000000"/>
          <w:kern w:val="2"/>
          <w:sz w:val="20"/>
          <w:szCs w:val="20"/>
        </w:rPr>
        <w:instrText xml:space="preserve"> REF _Ref37384067 \r \h </w:instrText>
      </w:r>
      <w:r>
        <w:rPr>
          <w:rFonts w:eastAsia="Batang"/>
          <w:iCs/>
          <w:color w:val="000000"/>
          <w:kern w:val="2"/>
          <w:sz w:val="20"/>
          <w:szCs w:val="20"/>
        </w:rPr>
      </w:r>
      <w:r>
        <w:rPr>
          <w:rFonts w:eastAsia="Batang"/>
          <w:iCs/>
          <w:color w:val="000000"/>
          <w:kern w:val="2"/>
          <w:sz w:val="20"/>
          <w:szCs w:val="20"/>
        </w:rPr>
        <w:fldChar w:fldCharType="separate"/>
      </w:r>
      <w:r>
        <w:rPr>
          <w:rFonts w:eastAsia="Batang"/>
          <w:iCs/>
          <w:color w:val="000000"/>
          <w:kern w:val="2"/>
          <w:sz w:val="20"/>
          <w:szCs w:val="20"/>
        </w:rPr>
        <w:t>[5]</w:t>
      </w:r>
      <w:r>
        <w:rPr>
          <w:rFonts w:eastAsia="Batang"/>
          <w:iCs/>
          <w:color w:val="000000"/>
          <w:kern w:val="2"/>
          <w:sz w:val="20"/>
          <w:szCs w:val="20"/>
        </w:rPr>
        <w:fldChar w:fldCharType="end"/>
      </w:r>
      <w:r>
        <w:rPr>
          <w:rFonts w:eastAsia="Batang"/>
          <w:iCs/>
          <w:color w:val="000000"/>
          <w:kern w:val="2"/>
          <w:sz w:val="20"/>
          <w:szCs w:val="20"/>
        </w:rPr>
        <w:t xml:space="preserve">.  The agreements were as follows </w:t>
      </w:r>
      <w:r>
        <w:rPr>
          <w:rFonts w:eastAsia="Batang"/>
          <w:iCs/>
          <w:color w:val="000000"/>
          <w:kern w:val="2"/>
          <w:sz w:val="20"/>
          <w:szCs w:val="20"/>
        </w:rPr>
        <w:fldChar w:fldCharType="begin"/>
      </w:r>
      <w:r>
        <w:rPr>
          <w:rFonts w:eastAsia="Batang"/>
          <w:iCs/>
          <w:color w:val="000000"/>
          <w:kern w:val="2"/>
          <w:sz w:val="20"/>
          <w:szCs w:val="20"/>
        </w:rPr>
        <w:instrText xml:space="preserve"> REF _Ref31979218 \r \h </w:instrText>
      </w:r>
      <w:r>
        <w:rPr>
          <w:rFonts w:eastAsia="Batang"/>
          <w:iCs/>
          <w:color w:val="000000"/>
          <w:kern w:val="2"/>
          <w:sz w:val="20"/>
          <w:szCs w:val="20"/>
        </w:rPr>
      </w:r>
      <w:r>
        <w:rPr>
          <w:rFonts w:eastAsia="Batang"/>
          <w:iCs/>
          <w:color w:val="000000"/>
          <w:kern w:val="2"/>
          <w:sz w:val="20"/>
          <w:szCs w:val="20"/>
        </w:rPr>
        <w:fldChar w:fldCharType="separate"/>
      </w:r>
      <w:r>
        <w:rPr>
          <w:rFonts w:eastAsia="Batang"/>
          <w:iCs/>
          <w:color w:val="000000"/>
          <w:kern w:val="2"/>
          <w:sz w:val="20"/>
          <w:szCs w:val="20"/>
        </w:rPr>
        <w:t>[1]</w:t>
      </w:r>
      <w:r>
        <w:rPr>
          <w:rFonts w:eastAsia="Batang"/>
          <w:iCs/>
          <w:color w:val="000000"/>
          <w:kern w:val="2"/>
          <w:sz w:val="20"/>
          <w:szCs w:val="20"/>
        </w:rPr>
        <w:fldChar w:fldCharType="end"/>
      </w:r>
      <w:r>
        <w:rPr>
          <w:rFonts w:eastAsia="Batang"/>
          <w:iCs/>
          <w:color w:val="000000"/>
          <w:kern w:val="2"/>
          <w:sz w:val="20"/>
          <w:szCs w:val="20"/>
        </w:rPr>
        <w:t>:</w:t>
      </w:r>
    </w:p>
    <w:p w14:paraId="4799446C" w14:textId="77777777" w:rsidR="00B978E0" w:rsidRDefault="00B978E0" w:rsidP="00B978E0">
      <w:pPr>
        <w:jc w:val="both"/>
        <w:rPr>
          <w:rFonts w:eastAsia="Batang"/>
          <w:iCs/>
          <w:color w:val="000000"/>
          <w:kern w:val="2"/>
          <w:sz w:val="20"/>
          <w:szCs w:val="20"/>
        </w:rPr>
      </w:pPr>
    </w:p>
    <w:tbl>
      <w:tblPr>
        <w:tblStyle w:val="TableGrid"/>
        <w:tblW w:w="0" w:type="auto"/>
        <w:tblLook w:val="04A0" w:firstRow="1" w:lastRow="0" w:firstColumn="1" w:lastColumn="0" w:noHBand="0" w:noVBand="1"/>
      </w:tblPr>
      <w:tblGrid>
        <w:gridCol w:w="9010"/>
      </w:tblGrid>
      <w:tr w:rsidR="00B978E0" w14:paraId="4F2F0526" w14:textId="77777777" w:rsidTr="007A54E6">
        <w:tc>
          <w:tcPr>
            <w:tcW w:w="9010" w:type="dxa"/>
          </w:tcPr>
          <w:p w14:paraId="5DE2B102" w14:textId="77777777" w:rsidR="00B978E0" w:rsidRPr="00E527A0" w:rsidRDefault="00B978E0" w:rsidP="007A54E6">
            <w:pPr>
              <w:rPr>
                <w:sz w:val="22"/>
                <w:szCs w:val="22"/>
              </w:rPr>
            </w:pPr>
            <w:r w:rsidRPr="00E527A0">
              <w:rPr>
                <w:sz w:val="22"/>
                <w:szCs w:val="22"/>
                <w:highlight w:val="green"/>
              </w:rPr>
              <w:t>Agreements</w:t>
            </w:r>
            <w:r w:rsidRPr="00E527A0">
              <w:rPr>
                <w:sz w:val="22"/>
                <w:szCs w:val="22"/>
              </w:rPr>
              <w:t>:</w:t>
            </w:r>
          </w:p>
          <w:p w14:paraId="5CAD8865" w14:textId="77777777" w:rsidR="00B978E0" w:rsidRPr="00E527A0" w:rsidRDefault="00B978E0" w:rsidP="007A54E6">
            <w:pPr>
              <w:rPr>
                <w:i/>
                <w:iCs/>
                <w:sz w:val="22"/>
                <w:szCs w:val="22"/>
              </w:rPr>
            </w:pPr>
            <w:r w:rsidRPr="00E527A0">
              <w:rPr>
                <w:i/>
                <w:iCs/>
                <w:sz w:val="22"/>
                <w:szCs w:val="22"/>
              </w:rPr>
              <w:t xml:space="preserve">If a UE is configured with </w:t>
            </w:r>
            <m:oMath>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olor w:val="000000"/>
                      <w:sz w:val="22"/>
                      <w:szCs w:val="22"/>
                    </w:rPr>
                  </m:ctrlPr>
                </m:sub>
                <m:sup>
                  <m:r>
                    <m:rPr>
                      <m:sty m:val="p"/>
                    </m:rPr>
                    <w:rPr>
                      <w:rFonts w:ascii="Cambria Math" w:hAnsi="Cambria Math"/>
                      <w:color w:val="000000"/>
                      <w:sz w:val="22"/>
                      <w:szCs w:val="22"/>
                    </w:rPr>
                    <m:t>DL,(X,Y),</m:t>
                  </m:r>
                  <m:r>
                    <w:rPr>
                      <w:rFonts w:ascii="Cambria Math" w:hAnsi="Cambria Math"/>
                      <w:color w:val="000000"/>
                      <w:sz w:val="22"/>
                      <w:szCs w:val="22"/>
                    </w:rPr>
                    <m:t>μ</m:t>
                  </m:r>
                  <m:ctrlPr>
                    <w:rPr>
                      <w:rFonts w:ascii="Cambria Math" w:hAnsi="Cambria Math"/>
                      <w:color w:val="000000"/>
                      <w:sz w:val="22"/>
                      <w:szCs w:val="22"/>
                    </w:rPr>
                  </m:ctrlPr>
                </m:sup>
              </m:sSubSup>
            </m:oMath>
            <w:r w:rsidRPr="00E527A0">
              <w:rPr>
                <w:i/>
                <w:iCs/>
                <w:sz w:val="22"/>
                <w:szCs w:val="22"/>
              </w:rPr>
              <w:t xml:space="preserve"> downlink cells with Rel-16 PDCCH monitoring capability with an associated combination (X, Y) and SCS configuration µ, where </w:t>
            </w:r>
            <m:oMath>
              <m:nary>
                <m:naryPr>
                  <m:chr m:val="∑"/>
                  <m:ctrlPr>
                    <w:rPr>
                      <w:rFonts w:ascii="Cambria Math" w:hAnsi="Cambria Math"/>
                      <w:i/>
                      <w:iCs/>
                      <w:sz w:val="22"/>
                      <w:szCs w:val="22"/>
                    </w:rPr>
                  </m:ctrlPr>
                </m:naryPr>
                <m:sub>
                  <m:r>
                    <w:rPr>
                      <w:rFonts w:ascii="Cambria Math" w:hAnsi="Cambria Math"/>
                      <w:sz w:val="22"/>
                      <w:szCs w:val="22"/>
                    </w:rPr>
                    <m:t>μ=0</m:t>
                  </m:r>
                </m:sub>
                <m:sup>
                  <m:r>
                    <w:rPr>
                      <w:rFonts w:ascii="Cambria Math" w:hAnsi="Cambria Math"/>
                      <w:sz w:val="22"/>
                      <w:szCs w:val="22"/>
                    </w:rPr>
                    <m:t>1</m:t>
                  </m:r>
                </m:sup>
                <m:e>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cells,r16</m:t>
                      </m:r>
                    </m:sub>
                    <m:sup>
                      <m:r>
                        <w:rPr>
                          <w:rFonts w:ascii="Cambria Math" w:hAnsi="Cambria Math"/>
                          <w:sz w:val="22"/>
                          <w:szCs w:val="22"/>
                        </w:rPr>
                        <m:t>DL,μ</m:t>
                      </m:r>
                    </m:sup>
                  </m:sSubSup>
                </m:e>
              </m:nary>
              <m:r>
                <w:rPr>
                  <w:rFonts w:ascii="Cambria Math" w:hAnsi="Cambria Math"/>
                  <w:sz w:val="22"/>
                  <w:szCs w:val="22"/>
                </w:rPr>
                <m:t>&gt;</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cells</m:t>
                  </m:r>
                </m:sub>
                <m:sup>
                  <m:r>
                    <w:rPr>
                      <w:rFonts w:ascii="Cambria Math" w:hAnsi="Cambria Math"/>
                      <w:sz w:val="22"/>
                      <w:szCs w:val="22"/>
                    </w:rPr>
                    <m:t>cap-r16</m:t>
                  </m:r>
                </m:sup>
              </m:sSubSup>
            </m:oMath>
            <w:r w:rsidRPr="00E527A0">
              <w:rPr>
                <w:sz w:val="22"/>
                <w:szCs w:val="22"/>
                <w:lang w:val="x-none"/>
              </w:rPr>
              <w:t xml:space="preserve">, </w:t>
            </w:r>
            <w:r w:rsidRPr="00E527A0">
              <w:rPr>
                <w:i/>
                <w:iCs/>
                <w:sz w:val="22"/>
                <w:szCs w:val="22"/>
              </w:rPr>
              <w:t xml:space="preserve">the UE is not required to monitor more than </w:t>
            </w:r>
            <m:oMath>
              <m:sSubSup>
                <m:sSubSupPr>
                  <m:ctrlPr>
                    <w:rPr>
                      <w:rFonts w:ascii="Cambria Math" w:hAnsi="Cambria Math"/>
                      <w:i/>
                      <w:iCs/>
                      <w:color w:val="000000"/>
                      <w:sz w:val="22"/>
                      <w:szCs w:val="22"/>
                    </w:rPr>
                  </m:ctrlPr>
                </m:sSubSupPr>
                <m:e>
                  <m:r>
                    <w:rPr>
                      <w:rFonts w:ascii="Cambria Math" w:hAnsi="Cambria Math"/>
                      <w:color w:val="000000"/>
                      <w:sz w:val="22"/>
                      <w:szCs w:val="22"/>
                    </w:rPr>
                    <m:t>C</m:t>
                  </m:r>
                </m:e>
                <m:sub>
                  <m:r>
                    <m:rPr>
                      <m:sty m:val="p"/>
                    </m:rPr>
                    <w:rPr>
                      <w:rFonts w:ascii="Cambria Math" w:hAnsi="Cambria Math"/>
                      <w:color w:val="000000"/>
                      <w:sz w:val="22"/>
                      <w:szCs w:val="22"/>
                    </w:rPr>
                    <m:t>PDCCH</m:t>
                  </m:r>
                  <m:ctrlPr>
                    <w:rPr>
                      <w:rFonts w:ascii="Cambria Math" w:hAnsi="Cambria Math"/>
                      <w:color w:val="000000"/>
                      <w:sz w:val="22"/>
                      <w:szCs w:val="22"/>
                    </w:rPr>
                  </m:ctrlPr>
                </m:sub>
                <m:sup>
                  <m:r>
                    <m:rPr>
                      <m:sty m:val="p"/>
                    </m:rPr>
                    <w:rPr>
                      <w:rFonts w:ascii="Cambria Math" w:hAnsi="Cambria Math"/>
                      <w:color w:val="000000"/>
                      <w:sz w:val="22"/>
                      <w:szCs w:val="22"/>
                    </w:rPr>
                    <m:t>total,(X,Y),</m:t>
                  </m:r>
                  <m:r>
                    <w:rPr>
                      <w:rFonts w:ascii="Cambria Math" w:hAnsi="Cambria Math"/>
                      <w:color w:val="000000"/>
                      <w:sz w:val="22"/>
                      <w:szCs w:val="22"/>
                    </w:rPr>
                    <m:t>μ</m:t>
                  </m:r>
                  <m:ctrlPr>
                    <w:rPr>
                      <w:rFonts w:ascii="Cambria Math" w:hAnsi="Cambria Math"/>
                      <w:color w:val="000000"/>
                      <w:sz w:val="22"/>
                      <w:szCs w:val="22"/>
                    </w:rPr>
                  </m:ctrlPr>
                </m:sup>
              </m:sSubSup>
              <m:r>
                <w:rPr>
                  <w:rFonts w:ascii="Cambria Math" w:hAnsi="Cambria Math"/>
                  <w:color w:val="000000"/>
                  <w:sz w:val="22"/>
                  <w:szCs w:val="22"/>
                </w:rPr>
                <m:t xml:space="preserve"> </m:t>
              </m:r>
            </m:oMath>
            <w:r w:rsidRPr="00E527A0">
              <w:rPr>
                <w:i/>
                <w:iCs/>
                <w:sz w:val="22"/>
                <w:szCs w:val="22"/>
              </w:rPr>
              <w:t xml:space="preserve">non-overlapping CCEs </w:t>
            </w:r>
            <w:r w:rsidRPr="00E527A0">
              <w:rPr>
                <w:i/>
                <w:iCs/>
                <w:color w:val="FF0000"/>
                <w:sz w:val="22"/>
                <w:szCs w:val="22"/>
              </w:rPr>
              <w:t>for any set of spans across</w:t>
            </w:r>
            <w:r w:rsidRPr="00E527A0">
              <w:rPr>
                <w:i/>
                <w:iCs/>
                <w:sz w:val="22"/>
                <w:szCs w:val="22"/>
              </w:rPr>
              <w:t xml:space="preserve"> the active DL BWP(s) of scheduling cell(s) from the </w:t>
            </w:r>
            <m:oMath>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olor w:val="000000"/>
                      <w:sz w:val="22"/>
                      <w:szCs w:val="22"/>
                    </w:rPr>
                  </m:ctrlPr>
                </m:sub>
                <m:sup>
                  <m:r>
                    <m:rPr>
                      <m:sty m:val="p"/>
                    </m:rPr>
                    <w:rPr>
                      <w:rFonts w:ascii="Cambria Math" w:hAnsi="Cambria Math"/>
                      <w:color w:val="000000"/>
                      <w:sz w:val="22"/>
                      <w:szCs w:val="22"/>
                    </w:rPr>
                    <m:t>DL,(X,Y),</m:t>
                  </m:r>
                  <m:r>
                    <w:rPr>
                      <w:rFonts w:ascii="Cambria Math" w:hAnsi="Cambria Math"/>
                      <w:color w:val="000000"/>
                      <w:sz w:val="22"/>
                      <w:szCs w:val="22"/>
                    </w:rPr>
                    <m:t>μ</m:t>
                  </m:r>
                  <m:ctrlPr>
                    <w:rPr>
                      <w:rFonts w:ascii="Cambria Math" w:hAnsi="Cambria Math"/>
                      <w:color w:val="000000"/>
                      <w:sz w:val="22"/>
                      <w:szCs w:val="22"/>
                    </w:rPr>
                  </m:ctrlPr>
                </m:sup>
              </m:sSubSup>
              <m:r>
                <w:rPr>
                  <w:rFonts w:ascii="Cambria Math" w:hAnsi="Cambria Math"/>
                  <w:color w:val="000000"/>
                  <w:sz w:val="22"/>
                  <w:szCs w:val="22"/>
                </w:rPr>
                <m:t xml:space="preserve"> </m:t>
              </m:r>
            </m:oMath>
            <w:r w:rsidRPr="00E527A0">
              <w:rPr>
                <w:i/>
                <w:iCs/>
                <w:sz w:val="22"/>
                <w:szCs w:val="22"/>
              </w:rPr>
              <w:t xml:space="preserve">downlink cells </w:t>
            </w:r>
            <w:r w:rsidRPr="00E527A0">
              <w:rPr>
                <w:i/>
                <w:iCs/>
                <w:color w:val="0070C0"/>
                <w:sz w:val="22"/>
                <w:szCs w:val="22"/>
              </w:rPr>
              <w:t xml:space="preserve">if the spans on different downlink cells from the </w:t>
            </w:r>
            <m:oMath>
              <m:sSubSup>
                <m:sSubSupPr>
                  <m:ctrlPr>
                    <w:rPr>
                      <w:rFonts w:ascii="Cambria Math" w:hAnsi="Cambria Math"/>
                      <w:i/>
                      <w:iCs/>
                      <w:color w:val="0070C0"/>
                      <w:sz w:val="22"/>
                      <w:szCs w:val="22"/>
                    </w:rPr>
                  </m:ctrlPr>
                </m:sSubSupPr>
                <m:e>
                  <m:r>
                    <w:rPr>
                      <w:rFonts w:ascii="Cambria Math" w:hAnsi="Cambria Math"/>
                      <w:color w:val="0070C0"/>
                      <w:sz w:val="22"/>
                      <w:szCs w:val="22"/>
                    </w:rPr>
                    <m:t>N</m:t>
                  </m:r>
                </m:e>
                <m:sub>
                  <m:r>
                    <m:rPr>
                      <m:sty m:val="p"/>
                    </m:rPr>
                    <w:rPr>
                      <w:rFonts w:ascii="Cambria Math" w:hAnsi="Cambria Math"/>
                      <w:color w:val="0070C0"/>
                      <w:sz w:val="22"/>
                      <w:szCs w:val="22"/>
                    </w:rPr>
                    <m:t>cells,r16</m:t>
                  </m:r>
                  <m:ctrlPr>
                    <w:rPr>
                      <w:rFonts w:ascii="Cambria Math" w:hAnsi="Cambria Math"/>
                      <w:color w:val="0070C0"/>
                      <w:sz w:val="22"/>
                      <w:szCs w:val="22"/>
                    </w:rPr>
                  </m:ctrlPr>
                </m:sub>
                <m:sup>
                  <m:r>
                    <m:rPr>
                      <m:sty m:val="p"/>
                    </m:rPr>
                    <w:rPr>
                      <w:rFonts w:ascii="Cambria Math" w:hAnsi="Cambria Math"/>
                      <w:color w:val="0070C0"/>
                      <w:sz w:val="22"/>
                      <w:szCs w:val="22"/>
                    </w:rPr>
                    <m:t>DL,(X,Y),</m:t>
                  </m:r>
                  <m:r>
                    <w:rPr>
                      <w:rFonts w:ascii="Cambria Math" w:hAnsi="Cambria Math"/>
                      <w:color w:val="0070C0"/>
                      <w:sz w:val="22"/>
                      <w:szCs w:val="22"/>
                    </w:rPr>
                    <m:t>μ</m:t>
                  </m:r>
                  <m:ctrlPr>
                    <w:rPr>
                      <w:rFonts w:ascii="Cambria Math" w:hAnsi="Cambria Math"/>
                      <w:color w:val="0070C0"/>
                      <w:sz w:val="22"/>
                      <w:szCs w:val="22"/>
                    </w:rPr>
                  </m:ctrlPr>
                </m:sup>
              </m:sSubSup>
            </m:oMath>
            <w:r w:rsidRPr="00E527A0">
              <w:rPr>
                <w:i/>
                <w:iCs/>
                <w:color w:val="0070C0"/>
                <w:sz w:val="22"/>
                <w:szCs w:val="22"/>
              </w:rPr>
              <w:t xml:space="preserve"> downlink cells are not aligned, </w:t>
            </w:r>
            <w:r w:rsidRPr="00E527A0">
              <w:rPr>
                <w:i/>
                <w:iCs/>
                <w:color w:val="FF0000"/>
                <w:sz w:val="22"/>
                <w:szCs w:val="22"/>
              </w:rPr>
              <w:t>with at most one span per scheduling cell for each set</w:t>
            </w:r>
            <w:r w:rsidRPr="00E527A0">
              <w:rPr>
                <w:i/>
                <w:iCs/>
                <w:sz w:val="22"/>
                <w:szCs w:val="22"/>
              </w:rPr>
              <w:t>, where</w:t>
            </w:r>
          </w:p>
          <w:p w14:paraId="08566F66" w14:textId="77777777" w:rsidR="00B978E0" w:rsidRPr="00E527A0" w:rsidRDefault="00D42D6A" w:rsidP="007A54E6">
            <w:pPr>
              <w:spacing w:beforeLines="50" w:before="120"/>
              <w:rPr>
                <w:i/>
                <w:iCs/>
                <w:color w:val="000000"/>
                <w:sz w:val="22"/>
                <w:szCs w:val="22"/>
              </w:rPr>
            </w:pPr>
            <m:oMathPara>
              <m:oMath>
                <m:sSubSup>
                  <m:sSubSupPr>
                    <m:ctrlPr>
                      <w:rPr>
                        <w:rFonts w:ascii="Cambria Math" w:hAnsi="Cambria Math"/>
                        <w:i/>
                        <w:iCs/>
                        <w:color w:val="000000"/>
                        <w:sz w:val="22"/>
                        <w:szCs w:val="22"/>
                      </w:rPr>
                    </m:ctrlPr>
                  </m:sSubSupPr>
                  <m:e>
                    <m:r>
                      <w:rPr>
                        <w:rFonts w:ascii="Cambria Math" w:hAnsi="Cambria Math"/>
                        <w:color w:val="000000"/>
                        <w:sz w:val="22"/>
                        <w:szCs w:val="22"/>
                      </w:rPr>
                      <m:t>C</m:t>
                    </m:r>
                  </m:e>
                  <m:sub>
                    <m:r>
                      <m:rPr>
                        <m:sty m:val="p"/>
                      </m:rPr>
                      <w:rPr>
                        <w:rFonts w:ascii="Cambria Math" w:hAnsi="Cambria Math"/>
                        <w:color w:val="000000"/>
                        <w:sz w:val="22"/>
                        <w:szCs w:val="22"/>
                      </w:rPr>
                      <m:t>PDCCH</m:t>
                    </m:r>
                    <m:ctrlPr>
                      <w:rPr>
                        <w:rFonts w:ascii="Cambria Math" w:hAnsi="Cambria Math"/>
                        <w:color w:val="000000"/>
                        <w:sz w:val="22"/>
                        <w:szCs w:val="22"/>
                      </w:rPr>
                    </m:ctrlPr>
                  </m:sub>
                  <m:sup>
                    <m:r>
                      <m:rPr>
                        <m:sty m:val="p"/>
                      </m:rPr>
                      <w:rPr>
                        <w:rFonts w:ascii="Cambria Math" w:hAnsi="Cambria Math"/>
                        <w:color w:val="000000"/>
                        <w:sz w:val="22"/>
                        <w:szCs w:val="22"/>
                      </w:rPr>
                      <m:t>total,(X,Y),</m:t>
                    </m:r>
                    <m:r>
                      <w:rPr>
                        <w:rFonts w:ascii="Cambria Math" w:hAnsi="Cambria Math"/>
                        <w:color w:val="000000"/>
                        <w:sz w:val="22"/>
                        <w:szCs w:val="22"/>
                      </w:rPr>
                      <m:t>μ</m:t>
                    </m:r>
                    <m:ctrlPr>
                      <w:rPr>
                        <w:rFonts w:ascii="Cambria Math" w:hAnsi="Cambria Math"/>
                        <w:color w:val="000000"/>
                        <w:sz w:val="22"/>
                        <w:szCs w:val="22"/>
                      </w:rPr>
                    </m:ctrlPr>
                  </m:sup>
                </m:sSubSup>
                <m:r>
                  <w:rPr>
                    <w:rFonts w:ascii="Cambria Math" w:hAnsi="Cambria Math"/>
                    <w:color w:val="000000"/>
                    <w:sz w:val="22"/>
                    <w:szCs w:val="22"/>
                  </w:rPr>
                  <m:t>=</m:t>
                </m:r>
                <m:d>
                  <m:dPr>
                    <m:begChr m:val="⌊"/>
                    <m:endChr m:val="⌋"/>
                    <m:ctrlPr>
                      <w:rPr>
                        <w:rFonts w:ascii="Cambria Math" w:hAnsi="Cambria Math"/>
                        <w:i/>
                        <w:iCs/>
                        <w:color w:val="000000"/>
                        <w:sz w:val="22"/>
                        <w:szCs w:val="22"/>
                      </w:rPr>
                    </m:ctrlPr>
                  </m:dPr>
                  <m:e>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m:t>
                        </m:r>
                        <m:ctrlPr>
                          <w:rPr>
                            <w:rFonts w:ascii="Cambria Math" w:hAnsi="Cambria Math"/>
                            <w:color w:val="000000"/>
                            <w:sz w:val="22"/>
                            <w:szCs w:val="22"/>
                          </w:rPr>
                        </m:ctrlPr>
                      </m:sub>
                      <m:sup>
                        <m:r>
                          <m:rPr>
                            <m:sty m:val="p"/>
                          </m:rPr>
                          <w:rPr>
                            <w:rFonts w:ascii="Cambria Math" w:hAnsi="Cambria Math"/>
                            <w:color w:val="000000"/>
                            <w:sz w:val="22"/>
                            <w:szCs w:val="22"/>
                          </w:rPr>
                          <m:t>cap-r16</m:t>
                        </m:r>
                        <m:ctrlPr>
                          <w:rPr>
                            <w:rFonts w:ascii="Cambria Math" w:hAnsi="Cambria Math"/>
                            <w:color w:val="000000"/>
                            <w:sz w:val="22"/>
                            <w:szCs w:val="22"/>
                          </w:rPr>
                        </m:ctrlPr>
                      </m:sup>
                    </m:sSubSup>
                    <m:r>
                      <w:rPr>
                        <w:rFonts w:ascii="Cambria Math" w:hAnsi="Cambria Math"/>
                        <w:color w:val="000000"/>
                        <w:sz w:val="22"/>
                        <w:szCs w:val="22"/>
                      </w:rPr>
                      <m:t>⋅</m:t>
                    </m:r>
                    <m:sSubSup>
                      <m:sSubSupPr>
                        <m:ctrlPr>
                          <w:rPr>
                            <w:rFonts w:ascii="Cambria Math" w:hAnsi="Cambria Math"/>
                            <w:i/>
                            <w:iCs/>
                            <w:color w:val="000000"/>
                            <w:sz w:val="22"/>
                            <w:szCs w:val="22"/>
                          </w:rPr>
                        </m:ctrlPr>
                      </m:sSubSupPr>
                      <m:e>
                        <m:r>
                          <w:rPr>
                            <w:rFonts w:ascii="Cambria Math" w:hAnsi="Cambria Math"/>
                            <w:color w:val="000000"/>
                            <w:sz w:val="22"/>
                            <w:szCs w:val="22"/>
                          </w:rPr>
                          <m:t>C</m:t>
                        </m:r>
                      </m:e>
                      <m:sub>
                        <m:r>
                          <m:rPr>
                            <m:sty m:val="p"/>
                          </m:rPr>
                          <w:rPr>
                            <w:rFonts w:ascii="Cambria Math" w:hAnsi="Cambria Math"/>
                            <w:color w:val="000000"/>
                            <w:sz w:val="22"/>
                            <w:szCs w:val="22"/>
                          </w:rPr>
                          <m:t>PDCCH</m:t>
                        </m:r>
                        <m:ctrlPr>
                          <w:rPr>
                            <w:rFonts w:ascii="Cambria Math" w:hAnsi="Cambria Math"/>
                            <w:color w:val="000000"/>
                            <w:sz w:val="22"/>
                            <w:szCs w:val="22"/>
                          </w:rPr>
                        </m:ctrlPr>
                      </m:sub>
                      <m:sup>
                        <m:r>
                          <m:rPr>
                            <m:sty m:val="p"/>
                          </m:rPr>
                          <w:rPr>
                            <w:rFonts w:ascii="Cambria Math" w:hAnsi="Cambria Math"/>
                            <w:color w:val="000000"/>
                            <w:sz w:val="22"/>
                            <w:szCs w:val="22"/>
                          </w:rPr>
                          <m:t>max,(X,Y),</m:t>
                        </m:r>
                        <m:r>
                          <w:rPr>
                            <w:rFonts w:ascii="Cambria Math" w:hAnsi="Cambria Math"/>
                            <w:color w:val="000000"/>
                            <w:sz w:val="22"/>
                            <w:szCs w:val="22"/>
                          </w:rPr>
                          <m:t>μ</m:t>
                        </m:r>
                        <m:ctrlPr>
                          <w:rPr>
                            <w:rFonts w:ascii="Cambria Math" w:hAnsi="Cambria Math"/>
                            <w:color w:val="000000"/>
                            <w:sz w:val="22"/>
                            <w:szCs w:val="22"/>
                          </w:rPr>
                        </m:ctrlPr>
                      </m:sup>
                    </m:sSubSup>
                    <m:r>
                      <w:rPr>
                        <w:rFonts w:ascii="Cambria Math" w:hAnsi="Cambria Math"/>
                        <w:color w:val="000000"/>
                        <w:sz w:val="22"/>
                        <w:szCs w:val="22"/>
                      </w:rPr>
                      <m:t>⋅</m:t>
                    </m:r>
                    <m:f>
                      <m:fPr>
                        <m:type m:val="lin"/>
                        <m:ctrlPr>
                          <w:rPr>
                            <w:rFonts w:ascii="Cambria Math" w:hAnsi="Cambria Math"/>
                            <w:i/>
                            <w:iCs/>
                            <w:color w:val="000000"/>
                            <w:sz w:val="22"/>
                            <w:szCs w:val="22"/>
                          </w:rPr>
                        </m:ctrlPr>
                      </m:fPr>
                      <m:num>
                        <m:d>
                          <m:dPr>
                            <m:ctrlPr>
                              <w:rPr>
                                <w:rFonts w:ascii="Cambria Math" w:hAnsi="Cambria Math"/>
                                <w:i/>
                                <w:iCs/>
                                <w:color w:val="000000"/>
                                <w:sz w:val="22"/>
                                <w:szCs w:val="22"/>
                              </w:rPr>
                            </m:ctrlPr>
                          </m:dPr>
                          <m:e>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olor w:val="000000"/>
                                    <w:sz w:val="22"/>
                                    <w:szCs w:val="22"/>
                                  </w:rPr>
                                </m:ctrlPr>
                              </m:sub>
                              <m:sup>
                                <m:r>
                                  <m:rPr>
                                    <m:sty m:val="p"/>
                                  </m:rPr>
                                  <w:rPr>
                                    <w:rFonts w:ascii="Cambria Math" w:hAnsi="Cambria Math"/>
                                    <w:color w:val="000000"/>
                                    <w:sz w:val="22"/>
                                    <w:szCs w:val="22"/>
                                  </w:rPr>
                                  <m:t>DL,(X,Y),</m:t>
                                </m:r>
                                <m:r>
                                  <w:rPr>
                                    <w:rFonts w:ascii="Cambria Math" w:hAnsi="Cambria Math"/>
                                    <w:color w:val="000000"/>
                                    <w:sz w:val="22"/>
                                    <w:szCs w:val="22"/>
                                  </w:rPr>
                                  <m:t>μ</m:t>
                                </m:r>
                                <m:ctrlPr>
                                  <w:rPr>
                                    <w:rFonts w:ascii="Cambria Math" w:hAnsi="Cambria Math"/>
                                    <w:color w:val="000000"/>
                                    <w:sz w:val="22"/>
                                    <w:szCs w:val="22"/>
                                  </w:rPr>
                                </m:ctrlPr>
                              </m:sup>
                            </m:sSubSup>
                          </m:e>
                        </m:d>
                      </m:num>
                      <m:den>
                        <m:nary>
                          <m:naryPr>
                            <m:chr m:val="∑"/>
                            <m:ctrlPr>
                              <w:rPr>
                                <w:rFonts w:ascii="Cambria Math" w:hAnsi="Cambria Math"/>
                                <w:i/>
                                <w:iCs/>
                                <w:color w:val="000000"/>
                                <w:sz w:val="22"/>
                                <w:szCs w:val="22"/>
                              </w:rPr>
                            </m:ctrlPr>
                          </m:naryPr>
                          <m:sub>
                            <m:r>
                              <w:rPr>
                                <w:rFonts w:ascii="Cambria Math" w:hAnsi="Cambria Math"/>
                                <w:color w:val="000000"/>
                                <w:sz w:val="22"/>
                                <w:szCs w:val="22"/>
                              </w:rPr>
                              <m:t>j=0</m:t>
                            </m:r>
                          </m:sub>
                          <m:sup>
                            <m:r>
                              <w:rPr>
                                <w:rFonts w:ascii="Cambria Math" w:hAnsi="Cambria Math"/>
                                <w:color w:val="000000"/>
                                <w:sz w:val="22"/>
                                <w:szCs w:val="22"/>
                              </w:rPr>
                              <m:t>1</m:t>
                            </m:r>
                          </m:sup>
                          <m:e>
                            <m:d>
                              <m:dPr>
                                <m:ctrlPr>
                                  <w:rPr>
                                    <w:rFonts w:ascii="Cambria Math" w:hAnsi="Cambria Math"/>
                                    <w:i/>
                                    <w:iCs/>
                                    <w:color w:val="000000"/>
                                    <w:sz w:val="22"/>
                                    <w:szCs w:val="22"/>
                                  </w:rPr>
                                </m:ctrlPr>
                              </m:dPr>
                              <m:e>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olor w:val="000000"/>
                                        <w:sz w:val="22"/>
                                        <w:szCs w:val="22"/>
                                      </w:rPr>
                                    </m:ctrlPr>
                                  </m:sub>
                                  <m:sup>
                                    <m:r>
                                      <m:rPr>
                                        <m:sty m:val="p"/>
                                      </m:rPr>
                                      <w:rPr>
                                        <w:rFonts w:ascii="Cambria Math" w:hAnsi="Cambria Math"/>
                                        <w:color w:val="000000"/>
                                        <w:sz w:val="22"/>
                                        <w:szCs w:val="22"/>
                                      </w:rPr>
                                      <m:t>DL,</m:t>
                                    </m:r>
                                    <m:r>
                                      <w:rPr>
                                        <w:rFonts w:ascii="Cambria Math" w:hAnsi="Cambria Math"/>
                                        <w:color w:val="000000"/>
                                        <w:sz w:val="22"/>
                                        <w:szCs w:val="22"/>
                                      </w:rPr>
                                      <m:t>j</m:t>
                                    </m:r>
                                    <m:ctrlPr>
                                      <w:rPr>
                                        <w:rFonts w:ascii="Cambria Math" w:hAnsi="Cambria Math"/>
                                        <w:color w:val="000000"/>
                                        <w:sz w:val="22"/>
                                        <w:szCs w:val="22"/>
                                      </w:rPr>
                                    </m:ctrlPr>
                                  </m:sup>
                                </m:sSubSup>
                              </m:e>
                            </m:d>
                          </m:e>
                        </m:nary>
                      </m:den>
                    </m:f>
                  </m:e>
                </m:d>
              </m:oMath>
            </m:oMathPara>
          </w:p>
          <w:p w14:paraId="76FC5453" w14:textId="77777777" w:rsidR="00B978E0" w:rsidRPr="00E527A0" w:rsidRDefault="00D42D6A" w:rsidP="00B978E0">
            <w:pPr>
              <w:numPr>
                <w:ilvl w:val="1"/>
                <w:numId w:val="2"/>
              </w:numPr>
              <w:ind w:leftChars="362" w:left="1229"/>
              <w:rPr>
                <w:i/>
                <w:iCs/>
                <w:sz w:val="22"/>
                <w:szCs w:val="22"/>
              </w:rPr>
            </w:pPr>
            <m:oMath>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olor w:val="000000"/>
                      <w:sz w:val="22"/>
                      <w:szCs w:val="22"/>
                    </w:rPr>
                  </m:ctrlPr>
                </m:sub>
                <m:sup>
                  <m:r>
                    <m:rPr>
                      <m:sty m:val="p"/>
                    </m:rPr>
                    <w:rPr>
                      <w:rFonts w:ascii="Cambria Math" w:hAnsi="Cambria Math"/>
                      <w:color w:val="000000"/>
                      <w:sz w:val="22"/>
                      <w:szCs w:val="22"/>
                    </w:rPr>
                    <m:t>DL,j</m:t>
                  </m:r>
                  <m:ctrlPr>
                    <w:rPr>
                      <w:rFonts w:ascii="Cambria Math" w:hAnsi="Cambria Math"/>
                      <w:color w:val="000000"/>
                      <w:sz w:val="22"/>
                      <w:szCs w:val="22"/>
                    </w:rPr>
                  </m:ctrlPr>
                </m:sup>
              </m:sSubSup>
              <m:r>
                <w:rPr>
                  <w:rFonts w:ascii="Cambria Math" w:hAnsi="Cambria Math"/>
                  <w:color w:val="000000"/>
                  <w:sz w:val="22"/>
                  <w:szCs w:val="22"/>
                </w:rPr>
                <m:t xml:space="preserve"> </m:t>
              </m:r>
            </m:oMath>
            <w:r w:rsidR="00B978E0" w:rsidRPr="00E527A0">
              <w:rPr>
                <w:i/>
                <w:iCs/>
                <w:sz w:val="22"/>
                <w:szCs w:val="22"/>
              </w:rPr>
              <w:t xml:space="preserve">is the number serving cells configured with Rel-16 PDCCH monitoring capability with SCS configuration </w:t>
            </w:r>
            <w:proofErr w:type="gramStart"/>
            <w:r w:rsidR="00B978E0" w:rsidRPr="00E527A0">
              <w:rPr>
                <w:i/>
                <w:iCs/>
                <w:sz w:val="22"/>
                <w:szCs w:val="22"/>
              </w:rPr>
              <w:t>j.</w:t>
            </w:r>
            <w:proofErr w:type="gramEnd"/>
            <w:r w:rsidR="00B978E0" w:rsidRPr="00E527A0">
              <w:rPr>
                <w:i/>
                <w:iCs/>
                <w:sz w:val="22"/>
                <w:szCs w:val="22"/>
              </w:rPr>
              <w:t xml:space="preserve"> </w:t>
            </w:r>
          </w:p>
          <w:p w14:paraId="493BDDCD" w14:textId="77777777" w:rsidR="00B978E0" w:rsidRPr="00E527A0" w:rsidRDefault="00B978E0" w:rsidP="00B978E0">
            <w:pPr>
              <w:numPr>
                <w:ilvl w:val="1"/>
                <w:numId w:val="2"/>
              </w:numPr>
              <w:spacing w:beforeLines="50" w:before="120"/>
              <w:ind w:leftChars="361" w:left="1223" w:hanging="357"/>
              <w:rPr>
                <w:i/>
                <w:iCs/>
                <w:sz w:val="22"/>
                <w:szCs w:val="22"/>
              </w:rPr>
            </w:pPr>
            <w:r w:rsidRPr="00E527A0">
              <w:rPr>
                <w:i/>
                <w:iCs/>
                <w:sz w:val="22"/>
                <w:szCs w:val="22"/>
              </w:rPr>
              <w:t xml:space="preserve">If a UE is configured with multiple carriers with a mix of Rel-15 and Rel-16 PDCCH monitoring capability, </w:t>
            </w:r>
            <m:oMath>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m:t>
                  </m:r>
                  <m:ctrlPr>
                    <w:rPr>
                      <w:rFonts w:ascii="Cambria Math" w:hAnsi="Cambria Math"/>
                      <w:color w:val="000000"/>
                      <w:sz w:val="22"/>
                      <w:szCs w:val="22"/>
                    </w:rPr>
                  </m:ctrlPr>
                </m:sub>
                <m:sup>
                  <m:r>
                    <m:rPr>
                      <m:sty m:val="p"/>
                    </m:rPr>
                    <w:rPr>
                      <w:rFonts w:ascii="Cambria Math" w:hAnsi="Cambria Math"/>
                      <w:color w:val="000000"/>
                      <w:sz w:val="22"/>
                      <w:szCs w:val="22"/>
                    </w:rPr>
                    <m:t>cap-r16</m:t>
                  </m:r>
                  <m:ctrlPr>
                    <w:rPr>
                      <w:rFonts w:ascii="Cambria Math" w:hAnsi="Cambria Math"/>
                      <w:color w:val="000000"/>
                      <w:sz w:val="22"/>
                      <w:szCs w:val="22"/>
                    </w:rPr>
                  </m:ctrlPr>
                </m:sup>
              </m:sSubSup>
            </m:oMath>
            <w:r w:rsidRPr="00E527A0">
              <w:rPr>
                <w:i/>
                <w:iCs/>
                <w:sz w:val="22"/>
                <w:szCs w:val="22"/>
              </w:rPr>
              <w:t xml:space="preserve"> is replaced by </w:t>
            </w:r>
            <m:oMath>
              <m:sSubSup>
                <m:sSubSupPr>
                  <m:ctrlPr>
                    <w:rPr>
                      <w:rFonts w:ascii="Cambria Math" w:hAnsi="Cambria Math"/>
                      <w:i/>
                      <w:iCs/>
                      <w:color w:val="000000"/>
                      <w:sz w:val="22"/>
                      <w:szCs w:val="22"/>
                    </w:rPr>
                  </m:ctrlPr>
                </m:sSubSupPr>
                <m:e>
                  <m:r>
                    <w:rPr>
                      <w:rFonts w:ascii="Cambria Math" w:hAnsi="Cambria Math"/>
                      <w:color w:val="000000"/>
                      <w:sz w:val="22"/>
                      <w:szCs w:val="22"/>
                    </w:rPr>
                    <m:t>N</m:t>
                  </m:r>
                </m:e>
                <m:sub>
                  <m:r>
                    <m:rPr>
                      <m:sty m:val="p"/>
                    </m:rPr>
                    <w:rPr>
                      <w:rFonts w:ascii="Cambria Math" w:hAnsi="Cambria Math"/>
                      <w:color w:val="000000"/>
                      <w:sz w:val="22"/>
                      <w:szCs w:val="22"/>
                    </w:rPr>
                    <m:t>cells,r16</m:t>
                  </m:r>
                  <m:ctrlPr>
                    <w:rPr>
                      <w:rFonts w:ascii="Cambria Math" w:hAnsi="Cambria Math"/>
                      <w:color w:val="000000"/>
                      <w:sz w:val="22"/>
                      <w:szCs w:val="22"/>
                    </w:rPr>
                  </m:ctrlPr>
                </m:sub>
                <m:sup>
                  <m:r>
                    <m:rPr>
                      <m:sty m:val="p"/>
                    </m:rPr>
                    <w:rPr>
                      <w:rFonts w:ascii="Cambria Math" w:hAnsi="Cambria Math"/>
                      <w:color w:val="000000"/>
                      <w:sz w:val="22"/>
                      <w:szCs w:val="22"/>
                    </w:rPr>
                    <m:t>cap-r16</m:t>
                  </m:r>
                  <m:ctrlPr>
                    <w:rPr>
                      <w:rFonts w:ascii="Cambria Math" w:hAnsi="Cambria Math"/>
                      <w:color w:val="000000"/>
                      <w:sz w:val="22"/>
                      <w:szCs w:val="22"/>
                    </w:rPr>
                  </m:ctrlPr>
                </m:sup>
              </m:sSubSup>
            </m:oMath>
            <w:r w:rsidRPr="00E527A0">
              <w:rPr>
                <w:i/>
                <w:iCs/>
                <w:sz w:val="22"/>
                <w:szCs w:val="22"/>
              </w:rPr>
              <w:t xml:space="preserve">. </w:t>
            </w:r>
          </w:p>
          <w:p w14:paraId="18B8DFCF" w14:textId="77777777" w:rsidR="00B978E0" w:rsidRPr="00E527A0" w:rsidRDefault="00B978E0" w:rsidP="00B978E0">
            <w:pPr>
              <w:numPr>
                <w:ilvl w:val="1"/>
                <w:numId w:val="2"/>
              </w:numPr>
              <w:spacing w:beforeLines="50" w:before="120"/>
              <w:ind w:leftChars="361" w:left="1223" w:hanging="357"/>
              <w:rPr>
                <w:i/>
                <w:iCs/>
                <w:sz w:val="22"/>
                <w:szCs w:val="22"/>
              </w:rPr>
            </w:pPr>
            <w:r w:rsidRPr="00E527A0">
              <w:rPr>
                <w:i/>
                <w:iCs/>
                <w:sz w:val="22"/>
                <w:szCs w:val="22"/>
              </w:rPr>
              <w:t xml:space="preserve">The associated combination (X, Y) is the combination (X, Y) associated with largest maximum number of </w:t>
            </w:r>
            <m:oMath>
              <m:sSubSup>
                <m:sSubSupPr>
                  <m:ctrlPr>
                    <w:rPr>
                      <w:rFonts w:ascii="Cambria Math" w:hAnsi="Cambria Math"/>
                      <w:i/>
                      <w:iCs/>
                      <w:sz w:val="22"/>
                      <w:szCs w:val="22"/>
                    </w:rPr>
                  </m:ctrlPr>
                </m:sSubSupPr>
                <m:e>
                  <m:r>
                    <w:rPr>
                      <w:rFonts w:ascii="Cambria Math" w:hAnsi="Cambria Math"/>
                      <w:sz w:val="22"/>
                      <w:szCs w:val="22"/>
                    </w:rPr>
                    <m:t>C</m:t>
                  </m:r>
                </m:e>
                <m:sub>
                  <m:r>
                    <m:rPr>
                      <m:sty m:val="p"/>
                    </m:rPr>
                    <w:rPr>
                      <w:rFonts w:ascii="Cambria Math" w:hAnsi="Cambria Math"/>
                      <w:sz w:val="22"/>
                      <w:szCs w:val="22"/>
                    </w:rPr>
                    <m:t>PDCCH</m:t>
                  </m:r>
                </m:sub>
                <m:sup>
                  <m:r>
                    <w:rPr>
                      <w:rFonts w:ascii="Cambria Math" w:hAnsi="Cambria Math"/>
                      <w:sz w:val="22"/>
                      <w:szCs w:val="22"/>
                    </w:rPr>
                    <m:t>max,</m:t>
                  </m:r>
                  <m:d>
                    <m:dPr>
                      <m:ctrlPr>
                        <w:rPr>
                          <w:rFonts w:ascii="Cambria Math" w:hAnsi="Cambria Math"/>
                          <w:i/>
                          <w:iCs/>
                          <w:sz w:val="22"/>
                          <w:szCs w:val="22"/>
                        </w:rPr>
                      </m:ctrlPr>
                    </m:dPr>
                    <m:e>
                      <m:r>
                        <w:rPr>
                          <w:rFonts w:ascii="Cambria Math" w:hAnsi="Cambria Math"/>
                          <w:sz w:val="22"/>
                          <w:szCs w:val="22"/>
                        </w:rPr>
                        <m:t>X,Y</m:t>
                      </m:r>
                    </m:e>
                  </m:d>
                  <m:r>
                    <w:rPr>
                      <w:rFonts w:ascii="Cambria Math" w:hAnsi="Cambria Math"/>
                      <w:sz w:val="22"/>
                      <w:szCs w:val="22"/>
                    </w:rPr>
                    <m:t>,μ</m:t>
                  </m:r>
                </m:sup>
              </m:sSubSup>
            </m:oMath>
            <w:r w:rsidRPr="00E527A0">
              <w:rPr>
                <w:i/>
                <w:iCs/>
                <w:sz w:val="22"/>
                <w:szCs w:val="22"/>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076ED5FB" w14:textId="77777777" w:rsidR="00B978E0" w:rsidRPr="00E527A0" w:rsidRDefault="00B978E0" w:rsidP="007A54E6">
            <w:pPr>
              <w:rPr>
                <w:sz w:val="22"/>
                <w:szCs w:val="22"/>
              </w:rPr>
            </w:pPr>
          </w:p>
          <w:p w14:paraId="4213A020" w14:textId="77777777" w:rsidR="00B978E0" w:rsidRPr="00E527A0" w:rsidRDefault="00B978E0" w:rsidP="007A54E6">
            <w:pPr>
              <w:rPr>
                <w:sz w:val="22"/>
                <w:szCs w:val="22"/>
              </w:rPr>
            </w:pPr>
            <w:r w:rsidRPr="00E527A0">
              <w:rPr>
                <w:sz w:val="22"/>
                <w:szCs w:val="22"/>
                <w:highlight w:val="green"/>
              </w:rPr>
              <w:lastRenderedPageBreak/>
              <w:t>Agreements</w:t>
            </w:r>
            <w:r w:rsidRPr="00E527A0">
              <w:rPr>
                <w:sz w:val="22"/>
                <w:szCs w:val="22"/>
              </w:rPr>
              <w:t>:  Spans on cells from the </w:t>
            </w:r>
            <m:oMath>
              <m:sSubSup>
                <m:sSubSupPr>
                  <m:ctrlPr>
                    <w:rPr>
                      <w:rFonts w:ascii="Cambria Math" w:eastAsia="DengXian" w:hAnsi="Cambria Math"/>
                      <w:i/>
                      <w:iCs/>
                      <w:sz w:val="22"/>
                      <w:szCs w:val="22"/>
                      <w:lang w:eastAsia="ja-JP"/>
                    </w:rPr>
                  </m:ctrlPr>
                </m:sSubSupPr>
                <m:e>
                  <m:r>
                    <w:rPr>
                      <w:rFonts w:ascii="Cambria Math" w:eastAsia="DengXian" w:hAnsi="Cambria Math"/>
                      <w:sz w:val="22"/>
                      <w:szCs w:val="22"/>
                      <w:lang w:eastAsia="ja-JP"/>
                    </w:rPr>
                    <m:t>N</m:t>
                  </m:r>
                </m:e>
                <m:sub>
                  <m:r>
                    <w:rPr>
                      <w:rFonts w:ascii="Cambria Math" w:eastAsia="DengXian" w:hAnsi="Cambria Math"/>
                      <w:sz w:val="22"/>
                      <w:szCs w:val="22"/>
                      <w:lang w:eastAsia="ja-JP"/>
                    </w:rPr>
                    <m:t>cells,r16</m:t>
                  </m:r>
                </m:sub>
                <m:sup>
                  <m:r>
                    <w:rPr>
                      <w:rFonts w:ascii="Cambria Math" w:eastAsia="DengXian" w:hAnsi="Cambria Math"/>
                      <w:sz w:val="22"/>
                      <w:szCs w:val="22"/>
                      <w:lang w:eastAsia="ja-JP"/>
                    </w:rPr>
                    <m:t>DL,</m:t>
                  </m:r>
                  <m:d>
                    <m:dPr>
                      <m:ctrlPr>
                        <w:rPr>
                          <w:rFonts w:ascii="Cambria Math" w:eastAsia="DengXian" w:hAnsi="Cambria Math"/>
                          <w:i/>
                          <w:iCs/>
                          <w:sz w:val="22"/>
                          <w:szCs w:val="22"/>
                          <w:lang w:eastAsia="ja-JP"/>
                        </w:rPr>
                      </m:ctrlPr>
                    </m:dPr>
                    <m:e>
                      <m:r>
                        <w:rPr>
                          <w:rFonts w:ascii="Cambria Math" w:eastAsia="DengXian" w:hAnsi="Cambria Math"/>
                          <w:sz w:val="22"/>
                          <w:szCs w:val="22"/>
                          <w:lang w:eastAsia="ja-JP"/>
                        </w:rPr>
                        <m:t>X,Y</m:t>
                      </m:r>
                    </m:e>
                  </m:d>
                  <m:r>
                    <w:rPr>
                      <w:rFonts w:ascii="Cambria Math" w:eastAsia="DengXian" w:hAnsi="Cambria Math"/>
                      <w:sz w:val="22"/>
                      <w:szCs w:val="22"/>
                      <w:lang w:eastAsia="ja-JP"/>
                    </w:rPr>
                    <m:t>,μ</m:t>
                  </m:r>
                </m:sup>
              </m:sSubSup>
            </m:oMath>
            <w:r w:rsidRPr="00E527A0">
              <w:rPr>
                <w:sz w:val="22"/>
                <w:szCs w:val="22"/>
              </w:rPr>
              <w:t xml:space="preserve"> downlink cells are considered as aligned if the union of PDCCH monitoring occasions on all the cells results to PDCCH monitoring according to the combination </w:t>
            </w:r>
            <m:oMath>
              <m:r>
                <w:rPr>
                  <w:rFonts w:ascii="Cambria Math" w:eastAsia="DengXian" w:hAnsi="Cambria Math"/>
                  <w:sz w:val="22"/>
                  <w:szCs w:val="22"/>
                  <w:lang w:eastAsia="ja-JP"/>
                </w:rPr>
                <m:t>(X,Y)</m:t>
              </m:r>
            </m:oMath>
            <w:r w:rsidRPr="00E527A0">
              <w:rPr>
                <w:sz w:val="22"/>
                <w:szCs w:val="22"/>
              </w:rPr>
              <w:t> ; Otherwise, they are considered as not aligned.</w:t>
            </w:r>
          </w:p>
          <w:p w14:paraId="05F2D055" w14:textId="77777777" w:rsidR="00B978E0" w:rsidRDefault="00B978E0" w:rsidP="007A54E6">
            <w:pPr>
              <w:jc w:val="both"/>
              <w:rPr>
                <w:rFonts w:eastAsia="Batang"/>
                <w:iCs/>
                <w:color w:val="000000"/>
                <w:kern w:val="2"/>
                <w:sz w:val="20"/>
                <w:szCs w:val="20"/>
              </w:rPr>
            </w:pPr>
          </w:p>
        </w:tc>
      </w:tr>
    </w:tbl>
    <w:p w14:paraId="59E56C74" w14:textId="77777777" w:rsidR="00B978E0" w:rsidRDefault="00B978E0" w:rsidP="00B978E0">
      <w:pPr>
        <w:jc w:val="both"/>
        <w:rPr>
          <w:rFonts w:eastAsia="Batang"/>
          <w:iCs/>
          <w:color w:val="000000"/>
          <w:kern w:val="2"/>
          <w:sz w:val="20"/>
          <w:szCs w:val="20"/>
        </w:rPr>
      </w:pPr>
    </w:p>
    <w:p w14:paraId="517E7C53" w14:textId="77777777" w:rsidR="00B978E0" w:rsidRDefault="00B978E0" w:rsidP="00B978E0">
      <w:pPr>
        <w:jc w:val="both"/>
        <w:rPr>
          <w:rFonts w:eastAsia="Batang"/>
          <w:iCs/>
          <w:color w:val="000000"/>
          <w:kern w:val="2"/>
          <w:sz w:val="20"/>
          <w:szCs w:val="20"/>
        </w:rPr>
      </w:pPr>
    </w:p>
    <w:p w14:paraId="7C74625A" w14:textId="77777777" w:rsidR="00B978E0" w:rsidRDefault="00B978E0" w:rsidP="00B978E0">
      <w:pPr>
        <w:jc w:val="both"/>
        <w:rPr>
          <w:rFonts w:eastAsia="Batang"/>
          <w:iCs/>
          <w:color w:val="000000"/>
          <w:kern w:val="2"/>
          <w:sz w:val="20"/>
          <w:szCs w:val="20"/>
        </w:rPr>
      </w:pPr>
      <w:r>
        <w:rPr>
          <w:rFonts w:eastAsia="Batang"/>
          <w:iCs/>
          <w:color w:val="000000"/>
          <w:kern w:val="2"/>
          <w:sz w:val="20"/>
          <w:szCs w:val="20"/>
        </w:rPr>
        <w:t>In the email discussion, it was observed that the although the definition of the aligned and non-aligned spans was accurate for most of the scenarios discussed, there was a corner case that resulted in an inaccurate classification. This is illustrated below in</w:t>
      </w:r>
      <w:r w:rsidRPr="002A4880">
        <w:rPr>
          <w:rFonts w:eastAsia="Batang"/>
          <w:iCs/>
          <w:color w:val="000000"/>
          <w:kern w:val="2"/>
          <w:sz w:val="22"/>
          <w:szCs w:val="22"/>
        </w:rPr>
        <w:t xml:space="preserve"> </w:t>
      </w:r>
      <w:r w:rsidRPr="002A4880">
        <w:rPr>
          <w:rFonts w:eastAsia="Batang"/>
          <w:iCs/>
          <w:color w:val="000000"/>
          <w:kern w:val="2"/>
          <w:sz w:val="22"/>
          <w:szCs w:val="22"/>
        </w:rPr>
        <w:fldChar w:fldCharType="begin"/>
      </w:r>
      <w:r w:rsidRPr="002A4880">
        <w:rPr>
          <w:rFonts w:eastAsia="Batang"/>
          <w:iCs/>
          <w:color w:val="000000"/>
          <w:kern w:val="2"/>
          <w:sz w:val="22"/>
          <w:szCs w:val="22"/>
        </w:rPr>
        <w:instrText xml:space="preserve"> REF _Ref40416198 \h </w:instrText>
      </w:r>
      <w:r>
        <w:rPr>
          <w:rFonts w:eastAsia="Batang"/>
          <w:iCs/>
          <w:color w:val="000000"/>
          <w:kern w:val="2"/>
          <w:sz w:val="22"/>
          <w:szCs w:val="22"/>
        </w:rPr>
        <w:instrText xml:space="preserve"> \* MERGEFORMAT </w:instrText>
      </w:r>
      <w:r w:rsidRPr="002A4880">
        <w:rPr>
          <w:rFonts w:eastAsia="Batang"/>
          <w:iCs/>
          <w:color w:val="000000"/>
          <w:kern w:val="2"/>
          <w:sz w:val="22"/>
          <w:szCs w:val="22"/>
        </w:rPr>
      </w:r>
      <w:r w:rsidRPr="002A4880">
        <w:rPr>
          <w:rFonts w:eastAsia="Batang"/>
          <w:iCs/>
          <w:color w:val="000000"/>
          <w:kern w:val="2"/>
          <w:sz w:val="22"/>
          <w:szCs w:val="22"/>
        </w:rPr>
        <w:fldChar w:fldCharType="separate"/>
      </w:r>
      <w:r w:rsidRPr="002A4880">
        <w:rPr>
          <w:sz w:val="22"/>
          <w:szCs w:val="22"/>
        </w:rPr>
        <w:t xml:space="preserve">Figure </w:t>
      </w:r>
      <w:r w:rsidRPr="002A4880">
        <w:rPr>
          <w:noProof/>
          <w:sz w:val="22"/>
          <w:szCs w:val="22"/>
        </w:rPr>
        <w:t>1</w:t>
      </w:r>
      <w:r w:rsidRPr="002A4880">
        <w:rPr>
          <w:rFonts w:eastAsia="Batang"/>
          <w:iCs/>
          <w:color w:val="000000"/>
          <w:kern w:val="2"/>
          <w:sz w:val="22"/>
          <w:szCs w:val="22"/>
        </w:rPr>
        <w:fldChar w:fldCharType="end"/>
      </w:r>
      <w:r>
        <w:rPr>
          <w:rFonts w:eastAsia="Batang"/>
          <w:iCs/>
          <w:color w:val="000000"/>
          <w:kern w:val="2"/>
          <w:sz w:val="20"/>
          <w:szCs w:val="20"/>
        </w:rPr>
        <w:t xml:space="preserve">. </w:t>
      </w:r>
    </w:p>
    <w:p w14:paraId="17EE0D9C" w14:textId="77777777" w:rsidR="00B978E0" w:rsidRDefault="00B978E0" w:rsidP="00B978E0">
      <w:pPr>
        <w:jc w:val="both"/>
        <w:rPr>
          <w:rFonts w:eastAsia="Batang"/>
          <w:iCs/>
          <w:color w:val="000000"/>
          <w:kern w:val="2"/>
          <w:sz w:val="20"/>
          <w:szCs w:val="20"/>
        </w:rPr>
      </w:pPr>
    </w:p>
    <w:p w14:paraId="228CD757" w14:textId="77777777" w:rsidR="00B978E0" w:rsidRDefault="00B978E0" w:rsidP="00B978E0">
      <w:pPr>
        <w:keepNext/>
        <w:jc w:val="center"/>
      </w:pPr>
      <w:r w:rsidRPr="00E527A0">
        <w:rPr>
          <w:rFonts w:eastAsia="Batang"/>
          <w:noProof/>
          <w:color w:val="000000"/>
          <w:kern w:val="2"/>
          <w:sz w:val="20"/>
          <w:szCs w:val="20"/>
        </w:rPr>
        <w:drawing>
          <wp:inline distT="0" distB="0" distL="0" distR="0" wp14:anchorId="3C3D89F0" wp14:editId="1FE19461">
            <wp:extent cx="3390900" cy="774700"/>
            <wp:effectExtent l="0" t="0" r="0" b="0"/>
            <wp:docPr id="1" name="Picture 1"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90900" cy="774700"/>
                    </a:xfrm>
                    <a:prstGeom prst="rect">
                      <a:avLst/>
                    </a:prstGeom>
                  </pic:spPr>
                </pic:pic>
              </a:graphicData>
            </a:graphic>
          </wp:inline>
        </w:drawing>
      </w:r>
    </w:p>
    <w:p w14:paraId="102DEAE4" w14:textId="77777777" w:rsidR="00B978E0" w:rsidRPr="009C0131" w:rsidRDefault="00B978E0" w:rsidP="00B978E0">
      <w:pPr>
        <w:pStyle w:val="Caption"/>
        <w:rPr>
          <w:rFonts w:eastAsia="Batang"/>
          <w:color w:val="000000"/>
          <w:kern w:val="2"/>
          <w:sz w:val="20"/>
          <w:szCs w:val="20"/>
        </w:rPr>
      </w:pPr>
      <w:bookmarkStart w:id="1" w:name="_Ref40416198"/>
      <w:r>
        <w:t xml:space="preserve">Figure </w:t>
      </w:r>
      <w:fldSimple w:instr=" SEQ Figure \* ARABIC ">
        <w:r>
          <w:rPr>
            <w:noProof/>
          </w:rPr>
          <w:t>1</w:t>
        </w:r>
      </w:fldSimple>
      <w:bookmarkEnd w:id="1"/>
      <w:r>
        <w:t>: Aligned/Non-aligned Span Corner Case</w:t>
      </w:r>
    </w:p>
    <w:p w14:paraId="4C98EED7" w14:textId="77777777" w:rsidR="00B978E0" w:rsidRPr="002A4880" w:rsidRDefault="00B978E0" w:rsidP="00B978E0">
      <w:pPr>
        <w:jc w:val="both"/>
        <w:rPr>
          <w:rFonts w:eastAsia="Batang"/>
          <w:iCs/>
          <w:color w:val="000000"/>
          <w:kern w:val="2"/>
          <w:sz w:val="20"/>
          <w:szCs w:val="20"/>
          <w:lang w:val="en-GB"/>
        </w:rPr>
      </w:pPr>
      <w:r w:rsidRPr="002A4880">
        <w:rPr>
          <w:rFonts w:eastAsia="Batang"/>
          <w:iCs/>
          <w:color w:val="000000"/>
          <w:kern w:val="2"/>
          <w:sz w:val="20"/>
          <w:szCs w:val="20"/>
          <w:lang w:val="en-GB"/>
        </w:rPr>
        <w:t xml:space="preserve">As observed during the email discussion for the approval of the TP, the scenario in </w:t>
      </w:r>
      <w:r w:rsidRPr="002A4880">
        <w:rPr>
          <w:rFonts w:eastAsia="Batang"/>
          <w:iCs/>
          <w:color w:val="000000"/>
          <w:kern w:val="2"/>
          <w:sz w:val="20"/>
          <w:szCs w:val="20"/>
          <w:lang w:val="en-GB"/>
        </w:rPr>
        <w:fldChar w:fldCharType="begin"/>
      </w:r>
      <w:r w:rsidRPr="002A4880">
        <w:rPr>
          <w:rFonts w:eastAsia="Batang"/>
          <w:iCs/>
          <w:color w:val="000000"/>
          <w:kern w:val="2"/>
          <w:sz w:val="20"/>
          <w:szCs w:val="20"/>
          <w:lang w:val="en-GB"/>
        </w:rPr>
        <w:instrText xml:space="preserve"> REF _Ref40416198 \h </w:instrText>
      </w:r>
      <w:r>
        <w:rPr>
          <w:rFonts w:eastAsia="Batang"/>
          <w:iCs/>
          <w:color w:val="000000"/>
          <w:kern w:val="2"/>
          <w:sz w:val="20"/>
          <w:szCs w:val="20"/>
          <w:lang w:val="en-GB"/>
        </w:rPr>
        <w:instrText xml:space="preserve"> \* MERGEFORMAT </w:instrText>
      </w:r>
      <w:r w:rsidRPr="002A4880">
        <w:rPr>
          <w:rFonts w:eastAsia="Batang"/>
          <w:iCs/>
          <w:color w:val="000000"/>
          <w:kern w:val="2"/>
          <w:sz w:val="20"/>
          <w:szCs w:val="20"/>
          <w:lang w:val="en-GB"/>
        </w:rPr>
      </w:r>
      <w:r w:rsidRPr="002A4880">
        <w:rPr>
          <w:rFonts w:eastAsia="Batang"/>
          <w:iCs/>
          <w:color w:val="000000"/>
          <w:kern w:val="2"/>
          <w:sz w:val="20"/>
          <w:szCs w:val="20"/>
          <w:lang w:val="en-GB"/>
        </w:rPr>
        <w:fldChar w:fldCharType="separate"/>
      </w:r>
      <w:r w:rsidRPr="002A4880">
        <w:rPr>
          <w:iCs/>
        </w:rPr>
        <w:t xml:space="preserve">Figure </w:t>
      </w:r>
      <w:r w:rsidRPr="002A4880">
        <w:rPr>
          <w:iCs/>
          <w:noProof/>
        </w:rPr>
        <w:t>1</w:t>
      </w:r>
      <w:r w:rsidRPr="002A4880">
        <w:rPr>
          <w:rFonts w:eastAsia="Batang"/>
          <w:iCs/>
          <w:color w:val="000000"/>
          <w:kern w:val="2"/>
          <w:sz w:val="20"/>
          <w:szCs w:val="20"/>
          <w:lang w:val="en-GB"/>
        </w:rPr>
        <w:fldChar w:fldCharType="end"/>
      </w:r>
      <w:r w:rsidRPr="002A4880">
        <w:rPr>
          <w:rFonts w:eastAsia="Batang"/>
          <w:iCs/>
          <w:color w:val="000000"/>
          <w:kern w:val="2"/>
          <w:sz w:val="20"/>
          <w:szCs w:val="20"/>
          <w:lang w:val="en-GB"/>
        </w:rPr>
        <w:t>would result in a classification as aligned even though the spans on the two CCs are visually unaligned and use of the aligned definition for estimating the CA limits could result in aggressive limits for the UE. As suggested by Intel, a more appropriate definition could be as follows:</w:t>
      </w:r>
    </w:p>
    <w:p w14:paraId="220F88EC" w14:textId="77777777" w:rsidR="00B978E0" w:rsidRPr="002A4880" w:rsidRDefault="00B978E0" w:rsidP="00B978E0">
      <w:pPr>
        <w:jc w:val="both"/>
        <w:rPr>
          <w:rFonts w:eastAsia="Batang"/>
          <w:i/>
          <w:color w:val="000000"/>
          <w:kern w:val="2"/>
          <w:sz w:val="20"/>
          <w:szCs w:val="20"/>
        </w:rPr>
      </w:pPr>
      <w:r w:rsidRPr="002A4880">
        <w:rPr>
          <w:rFonts w:eastAsia="Batang"/>
          <w:i/>
          <w:color w:val="000000"/>
          <w:kern w:val="2"/>
          <w:sz w:val="20"/>
          <w:szCs w:val="20"/>
        </w:rPr>
        <w:t>“per span on the active DL BWP(s) of all scheduling cell(s) from the </w:t>
      </w:r>
      <w:r w:rsidRPr="00E527A0">
        <w:rPr>
          <w:sz w:val="22"/>
          <w:szCs w:val="22"/>
        </w:rPr>
        <w:t> </w:t>
      </w:r>
      <m:oMath>
        <m:sSubSup>
          <m:sSubSupPr>
            <m:ctrlPr>
              <w:rPr>
                <w:rFonts w:ascii="Cambria Math" w:eastAsia="DengXian" w:hAnsi="Cambria Math"/>
                <w:i/>
                <w:iCs/>
                <w:sz w:val="22"/>
                <w:szCs w:val="22"/>
                <w:lang w:eastAsia="ja-JP"/>
              </w:rPr>
            </m:ctrlPr>
          </m:sSubSupPr>
          <m:e>
            <m:r>
              <w:rPr>
                <w:rFonts w:ascii="Cambria Math" w:eastAsia="DengXian" w:hAnsi="Cambria Math"/>
                <w:sz w:val="22"/>
                <w:szCs w:val="22"/>
                <w:lang w:eastAsia="ja-JP"/>
              </w:rPr>
              <m:t>N</m:t>
            </m:r>
          </m:e>
          <m:sub>
            <m:r>
              <w:rPr>
                <w:rFonts w:ascii="Cambria Math" w:eastAsia="DengXian" w:hAnsi="Cambria Math"/>
                <w:sz w:val="22"/>
                <w:szCs w:val="22"/>
                <w:lang w:eastAsia="ja-JP"/>
              </w:rPr>
              <m:t>cells,r16</m:t>
            </m:r>
          </m:sub>
          <m:sup>
            <m:r>
              <w:rPr>
                <w:rFonts w:ascii="Cambria Math" w:eastAsia="DengXian" w:hAnsi="Cambria Math"/>
                <w:sz w:val="22"/>
                <w:szCs w:val="22"/>
                <w:lang w:eastAsia="ja-JP"/>
              </w:rPr>
              <m:t>DL,</m:t>
            </m:r>
            <m:d>
              <m:dPr>
                <m:ctrlPr>
                  <w:rPr>
                    <w:rFonts w:ascii="Cambria Math" w:eastAsia="DengXian" w:hAnsi="Cambria Math"/>
                    <w:i/>
                    <w:iCs/>
                    <w:sz w:val="22"/>
                    <w:szCs w:val="22"/>
                    <w:lang w:eastAsia="ja-JP"/>
                  </w:rPr>
                </m:ctrlPr>
              </m:dPr>
              <m:e>
                <m:r>
                  <w:rPr>
                    <w:rFonts w:ascii="Cambria Math" w:eastAsia="DengXian" w:hAnsi="Cambria Math"/>
                    <w:sz w:val="22"/>
                    <w:szCs w:val="22"/>
                    <w:lang w:eastAsia="ja-JP"/>
                  </w:rPr>
                  <m:t>X,Y</m:t>
                </m:r>
              </m:e>
            </m:d>
            <m:r>
              <w:rPr>
                <w:rFonts w:ascii="Cambria Math" w:eastAsia="DengXian" w:hAnsi="Cambria Math"/>
                <w:sz w:val="22"/>
                <w:szCs w:val="22"/>
                <w:lang w:eastAsia="ja-JP"/>
              </w:rPr>
              <m:t>,μ</m:t>
            </m:r>
          </m:sup>
        </m:sSubSup>
      </m:oMath>
      <w:r w:rsidRPr="00E527A0">
        <w:rPr>
          <w:sz w:val="22"/>
          <w:szCs w:val="22"/>
        </w:rPr>
        <w:t> </w:t>
      </w:r>
      <w:r w:rsidRPr="002A4880">
        <w:rPr>
          <w:rFonts w:eastAsia="Batang"/>
          <w:i/>
          <w:color w:val="000000"/>
          <w:kern w:val="2"/>
          <w:sz w:val="20"/>
          <w:szCs w:val="20"/>
        </w:rPr>
        <w:fldChar w:fldCharType="begin"/>
      </w:r>
      <w:r w:rsidRPr="002A4880">
        <w:rPr>
          <w:rFonts w:eastAsia="Batang"/>
          <w:i/>
          <w:color w:val="000000"/>
          <w:kern w:val="2"/>
          <w:sz w:val="20"/>
          <w:szCs w:val="20"/>
        </w:rPr>
        <w:instrText xml:space="preserve"> INCLUDEPICTURE "cid:image003.png@01D622FB.B29AE680" \* MERGEFORMATINET </w:instrText>
      </w:r>
      <w:r w:rsidRPr="002A4880">
        <w:rPr>
          <w:rFonts w:eastAsia="Batang"/>
          <w:i/>
          <w:color w:val="000000"/>
          <w:kern w:val="2"/>
          <w:sz w:val="20"/>
          <w:szCs w:val="20"/>
        </w:rPr>
        <w:fldChar w:fldCharType="end"/>
      </w:r>
      <w:r w:rsidRPr="002A4880">
        <w:rPr>
          <w:rFonts w:eastAsia="Batang"/>
          <w:i/>
          <w:color w:val="000000"/>
          <w:kern w:val="2"/>
          <w:sz w:val="20"/>
          <w:szCs w:val="20"/>
        </w:rPr>
        <w:t> downlink cells, if </w:t>
      </w:r>
      <w:r w:rsidRPr="002A4880">
        <w:rPr>
          <w:rFonts w:eastAsia="Batang"/>
          <w:i/>
          <w:strike/>
          <w:color w:val="FF0000"/>
          <w:kern w:val="2"/>
          <w:sz w:val="20"/>
          <w:szCs w:val="20"/>
        </w:rPr>
        <w:t>the union of PDCCH monitoring occasions</w:t>
      </w:r>
      <w:r w:rsidRPr="002A4880">
        <w:rPr>
          <w:rFonts w:eastAsia="Batang"/>
          <w:i/>
          <w:color w:val="000000"/>
          <w:kern w:val="2"/>
          <w:sz w:val="20"/>
          <w:szCs w:val="20"/>
        </w:rPr>
        <w:t> </w:t>
      </w:r>
      <w:r w:rsidRPr="002A4880">
        <w:rPr>
          <w:rFonts w:eastAsia="Batang"/>
          <w:i/>
          <w:color w:val="00B050"/>
          <w:kern w:val="2"/>
          <w:sz w:val="20"/>
          <w:szCs w:val="20"/>
        </w:rPr>
        <w:t>any pairs of spans </w:t>
      </w:r>
      <w:r w:rsidRPr="002A4880">
        <w:rPr>
          <w:rFonts w:eastAsia="Batang"/>
          <w:i/>
          <w:color w:val="000000"/>
          <w:kern w:val="2"/>
          <w:sz w:val="20"/>
          <w:szCs w:val="20"/>
        </w:rPr>
        <w:t>on all scheduling cells from the</w:t>
      </w:r>
      <w:r>
        <w:rPr>
          <w:rFonts w:eastAsia="Batang"/>
          <w:i/>
          <w:color w:val="000000"/>
          <w:kern w:val="2"/>
          <w:sz w:val="20"/>
          <w:szCs w:val="20"/>
        </w:rPr>
        <w:t xml:space="preserve"> </w:t>
      </w:r>
      <w:r w:rsidRPr="00E527A0">
        <w:rPr>
          <w:sz w:val="22"/>
          <w:szCs w:val="22"/>
        </w:rPr>
        <w:t> </w:t>
      </w:r>
      <m:oMath>
        <m:sSubSup>
          <m:sSubSupPr>
            <m:ctrlPr>
              <w:rPr>
                <w:rFonts w:ascii="Cambria Math" w:eastAsia="DengXian" w:hAnsi="Cambria Math"/>
                <w:i/>
                <w:iCs/>
                <w:sz w:val="22"/>
                <w:szCs w:val="22"/>
                <w:lang w:eastAsia="ja-JP"/>
              </w:rPr>
            </m:ctrlPr>
          </m:sSubSupPr>
          <m:e>
            <m:r>
              <w:rPr>
                <w:rFonts w:ascii="Cambria Math" w:eastAsia="DengXian" w:hAnsi="Cambria Math"/>
                <w:sz w:val="22"/>
                <w:szCs w:val="22"/>
                <w:lang w:eastAsia="ja-JP"/>
              </w:rPr>
              <m:t>N</m:t>
            </m:r>
          </m:e>
          <m:sub>
            <m:r>
              <w:rPr>
                <w:rFonts w:ascii="Cambria Math" w:eastAsia="DengXian" w:hAnsi="Cambria Math"/>
                <w:sz w:val="22"/>
                <w:szCs w:val="22"/>
                <w:lang w:eastAsia="ja-JP"/>
              </w:rPr>
              <m:t>cells,r16</m:t>
            </m:r>
          </m:sub>
          <m:sup>
            <m:r>
              <w:rPr>
                <w:rFonts w:ascii="Cambria Math" w:eastAsia="DengXian" w:hAnsi="Cambria Math"/>
                <w:sz w:val="22"/>
                <w:szCs w:val="22"/>
                <w:lang w:eastAsia="ja-JP"/>
              </w:rPr>
              <m:t>DL,</m:t>
            </m:r>
            <m:d>
              <m:dPr>
                <m:ctrlPr>
                  <w:rPr>
                    <w:rFonts w:ascii="Cambria Math" w:eastAsia="DengXian" w:hAnsi="Cambria Math"/>
                    <w:i/>
                    <w:iCs/>
                    <w:sz w:val="22"/>
                    <w:szCs w:val="22"/>
                    <w:lang w:eastAsia="ja-JP"/>
                  </w:rPr>
                </m:ctrlPr>
              </m:dPr>
              <m:e>
                <m:r>
                  <w:rPr>
                    <w:rFonts w:ascii="Cambria Math" w:eastAsia="DengXian" w:hAnsi="Cambria Math"/>
                    <w:sz w:val="22"/>
                    <w:szCs w:val="22"/>
                    <w:lang w:eastAsia="ja-JP"/>
                  </w:rPr>
                  <m:t>X,Y</m:t>
                </m:r>
              </m:e>
            </m:d>
            <m:r>
              <w:rPr>
                <w:rFonts w:ascii="Cambria Math" w:eastAsia="DengXian" w:hAnsi="Cambria Math"/>
                <w:sz w:val="22"/>
                <w:szCs w:val="22"/>
                <w:lang w:eastAsia="ja-JP"/>
              </w:rPr>
              <m:t>,μ</m:t>
            </m:r>
          </m:sup>
        </m:sSubSup>
      </m:oMath>
      <w:r w:rsidRPr="00E527A0">
        <w:rPr>
          <w:sz w:val="22"/>
          <w:szCs w:val="22"/>
        </w:rPr>
        <w:t> </w:t>
      </w:r>
      <w:r w:rsidRPr="002A4880">
        <w:rPr>
          <w:rFonts w:eastAsia="Batang"/>
          <w:i/>
          <w:color w:val="000000"/>
          <w:kern w:val="2"/>
          <w:sz w:val="20"/>
          <w:szCs w:val="20"/>
        </w:rPr>
        <w:t> </w:t>
      </w:r>
      <w:r w:rsidRPr="002A4880">
        <w:rPr>
          <w:rFonts w:eastAsia="Batang"/>
          <w:i/>
          <w:color w:val="000000"/>
          <w:kern w:val="2"/>
          <w:sz w:val="20"/>
          <w:szCs w:val="20"/>
        </w:rPr>
        <w:fldChar w:fldCharType="begin"/>
      </w:r>
      <w:r w:rsidRPr="002A4880">
        <w:rPr>
          <w:rFonts w:eastAsia="Batang"/>
          <w:i/>
          <w:color w:val="000000"/>
          <w:kern w:val="2"/>
          <w:sz w:val="20"/>
          <w:szCs w:val="20"/>
        </w:rPr>
        <w:instrText xml:space="preserve"> INCLUDEPICTURE "cid:image003.png@01D622FB.B29AE680" \* MERGEFORMATINET </w:instrText>
      </w:r>
      <w:r w:rsidRPr="002A4880">
        <w:rPr>
          <w:rFonts w:eastAsia="Batang"/>
          <w:i/>
          <w:color w:val="000000"/>
          <w:kern w:val="2"/>
          <w:sz w:val="20"/>
          <w:szCs w:val="20"/>
        </w:rPr>
        <w:fldChar w:fldCharType="end"/>
      </w:r>
      <w:r w:rsidRPr="002A4880">
        <w:rPr>
          <w:rFonts w:eastAsia="Batang"/>
          <w:i/>
          <w:color w:val="000000"/>
          <w:kern w:val="2"/>
          <w:sz w:val="20"/>
          <w:szCs w:val="20"/>
        </w:rPr>
        <w:t> downlink cells </w:t>
      </w:r>
      <w:r w:rsidRPr="002A4880">
        <w:rPr>
          <w:rFonts w:eastAsia="Batang"/>
          <w:i/>
          <w:color w:val="00B050"/>
          <w:kern w:val="2"/>
          <w:sz w:val="20"/>
          <w:szCs w:val="20"/>
        </w:rPr>
        <w:t>are within a same set of up to  consecutive</w:t>
      </w:r>
      <w:r>
        <w:rPr>
          <w:rFonts w:eastAsia="Batang"/>
          <w:i/>
          <w:color w:val="00B050"/>
          <w:kern w:val="2"/>
          <w:sz w:val="20"/>
          <w:szCs w:val="20"/>
        </w:rPr>
        <w:t xml:space="preserve"> Y</w:t>
      </w:r>
      <w:r w:rsidRPr="002A4880">
        <w:rPr>
          <w:rFonts w:eastAsia="Batang"/>
          <w:i/>
          <w:color w:val="00B050"/>
          <w:kern w:val="2"/>
          <w:sz w:val="20"/>
          <w:szCs w:val="20"/>
        </w:rPr>
        <w:t xml:space="preserve"> symbols</w:t>
      </w:r>
      <w:r w:rsidRPr="002A4880">
        <w:rPr>
          <w:rFonts w:eastAsia="Batang"/>
          <w:i/>
          <w:color w:val="000000"/>
          <w:kern w:val="2"/>
          <w:sz w:val="20"/>
          <w:szCs w:val="20"/>
        </w:rPr>
        <w:t xml:space="preserve">, </w:t>
      </w:r>
      <w:r w:rsidRPr="002A4880">
        <w:rPr>
          <w:rFonts w:eastAsia="Batang"/>
          <w:i/>
          <w:color w:val="00B050"/>
          <w:kern w:val="2"/>
          <w:sz w:val="20"/>
          <w:szCs w:val="20"/>
        </w:rPr>
        <w:t>or have first symbols separated by at least X  symbols </w:t>
      </w:r>
      <w:r w:rsidRPr="002A4880">
        <w:rPr>
          <w:rFonts w:eastAsia="Batang"/>
          <w:i/>
          <w:strike/>
          <w:color w:val="FF0000"/>
          <w:kern w:val="2"/>
          <w:sz w:val="20"/>
          <w:szCs w:val="20"/>
        </w:rPr>
        <w:t>results to PDCCH monitoring according to the combination</w:t>
      </w:r>
    </w:p>
    <w:p w14:paraId="49047EE8" w14:textId="77777777" w:rsidR="00B978E0" w:rsidRDefault="00B978E0" w:rsidP="00B978E0">
      <w:pPr>
        <w:jc w:val="both"/>
        <w:rPr>
          <w:rFonts w:eastAsia="Batang"/>
          <w:i/>
          <w:color w:val="000000"/>
          <w:kern w:val="2"/>
          <w:sz w:val="20"/>
          <w:szCs w:val="20"/>
          <w:lang w:val="en-GB"/>
        </w:rPr>
      </w:pPr>
    </w:p>
    <w:p w14:paraId="4C855476" w14:textId="77777777" w:rsidR="00B978E0" w:rsidRDefault="00B978E0" w:rsidP="00B978E0">
      <w:pPr>
        <w:jc w:val="both"/>
        <w:rPr>
          <w:rFonts w:eastAsia="Batang"/>
          <w:i/>
          <w:color w:val="000000"/>
          <w:kern w:val="2"/>
          <w:sz w:val="20"/>
          <w:szCs w:val="20"/>
          <w:lang w:val="en-GB"/>
        </w:rPr>
      </w:pPr>
      <w:r w:rsidRPr="002A4880">
        <w:rPr>
          <w:rFonts w:eastAsia="Batang"/>
          <w:b/>
          <w:bCs/>
          <w:i/>
          <w:color w:val="000000"/>
          <w:kern w:val="2"/>
          <w:sz w:val="20"/>
          <w:szCs w:val="20"/>
          <w:lang w:val="en-GB"/>
        </w:rPr>
        <w:t>Proposal 1</w:t>
      </w:r>
      <w:r>
        <w:rPr>
          <w:rFonts w:eastAsia="Batang"/>
          <w:i/>
          <w:color w:val="000000"/>
          <w:kern w:val="2"/>
          <w:sz w:val="20"/>
          <w:szCs w:val="20"/>
          <w:lang w:val="en-GB"/>
        </w:rPr>
        <w:t xml:space="preserve">: Modify the aligned/non-aligned span definition to account for all known cases. </w:t>
      </w:r>
    </w:p>
    <w:p w14:paraId="320605F7" w14:textId="77777777" w:rsidR="00B978E0" w:rsidRDefault="00B978E0" w:rsidP="00B978E0">
      <w:pPr>
        <w:jc w:val="both"/>
        <w:rPr>
          <w:rFonts w:eastAsia="Batang"/>
          <w:i/>
          <w:color w:val="000000"/>
          <w:kern w:val="2"/>
          <w:sz w:val="20"/>
          <w:szCs w:val="20"/>
          <w:lang w:val="en-GB"/>
        </w:rPr>
      </w:pPr>
    </w:p>
    <w:p w14:paraId="2C1F9911" w14:textId="77777777" w:rsidR="00B978E0" w:rsidRDefault="00B978E0" w:rsidP="00B978E0">
      <w:pPr>
        <w:jc w:val="both"/>
        <w:rPr>
          <w:rFonts w:eastAsia="Batang"/>
          <w:iCs/>
          <w:color w:val="000000"/>
          <w:kern w:val="2"/>
          <w:sz w:val="20"/>
          <w:szCs w:val="20"/>
          <w:lang w:val="en-GB"/>
        </w:rPr>
      </w:pPr>
      <w:r w:rsidRPr="009C0131">
        <w:rPr>
          <w:rFonts w:eastAsia="Batang"/>
          <w:iCs/>
          <w:color w:val="000000"/>
          <w:kern w:val="2"/>
          <w:sz w:val="20"/>
          <w:szCs w:val="20"/>
          <w:lang w:val="en-GB"/>
        </w:rPr>
        <w:t xml:space="preserve">For the M-TRP </w:t>
      </w:r>
      <w:r>
        <w:rPr>
          <w:rFonts w:eastAsia="Batang"/>
          <w:iCs/>
          <w:color w:val="000000"/>
          <w:kern w:val="2"/>
          <w:sz w:val="20"/>
          <w:szCs w:val="20"/>
          <w:lang w:val="en-GB"/>
        </w:rPr>
        <w:t>system</w:t>
      </w:r>
      <w:r w:rsidRPr="009C0131">
        <w:rPr>
          <w:rFonts w:eastAsia="Batang"/>
          <w:iCs/>
          <w:color w:val="000000"/>
          <w:kern w:val="2"/>
          <w:sz w:val="20"/>
          <w:szCs w:val="20"/>
          <w:lang w:val="en-GB"/>
        </w:rPr>
        <w:t xml:space="preserve">, the equation </w:t>
      </w:r>
      <w:r>
        <w:rPr>
          <w:rFonts w:eastAsia="Batang"/>
          <w:iCs/>
          <w:color w:val="000000"/>
          <w:kern w:val="2"/>
          <w:sz w:val="20"/>
          <w:szCs w:val="20"/>
          <w:lang w:val="en-GB"/>
        </w:rPr>
        <w:t xml:space="preserve">for estimating </w:t>
      </w:r>
      <m:oMath>
        <m:sSubSup>
          <m:sSubSupPr>
            <m:ctrlPr>
              <w:rPr>
                <w:rFonts w:ascii="Cambria Math" w:hAnsi="Cambria Math"/>
                <w:i/>
                <w:iCs/>
                <w:color w:val="000000"/>
                <w:sz w:val="22"/>
                <w:szCs w:val="22"/>
              </w:rPr>
            </m:ctrlPr>
          </m:sSubSupPr>
          <m:e>
            <m:r>
              <w:rPr>
                <w:rFonts w:ascii="Cambria Math" w:hAnsi="Cambria Math"/>
                <w:color w:val="000000"/>
                <w:sz w:val="22"/>
                <w:szCs w:val="22"/>
              </w:rPr>
              <m:t>C</m:t>
            </m:r>
          </m:e>
          <m:sub>
            <m:r>
              <m:rPr>
                <m:sty m:val="p"/>
              </m:rPr>
              <w:rPr>
                <w:rFonts w:ascii="Cambria Math" w:hAnsi="Cambria Math"/>
                <w:color w:val="000000"/>
                <w:sz w:val="22"/>
                <w:szCs w:val="22"/>
              </w:rPr>
              <m:t>PDCCH</m:t>
            </m:r>
            <m:ctrlPr>
              <w:rPr>
                <w:rFonts w:ascii="Cambria Math" w:hAnsi="Cambria Math"/>
                <w:color w:val="000000"/>
                <w:sz w:val="22"/>
                <w:szCs w:val="22"/>
              </w:rPr>
            </m:ctrlPr>
          </m:sub>
          <m:sup>
            <m:r>
              <m:rPr>
                <m:sty m:val="p"/>
              </m:rPr>
              <w:rPr>
                <w:rFonts w:ascii="Cambria Math" w:hAnsi="Cambria Math"/>
                <w:color w:val="000000"/>
                <w:sz w:val="22"/>
                <w:szCs w:val="22"/>
              </w:rPr>
              <m:t>total,(X,Y),</m:t>
            </m:r>
            <m:r>
              <w:rPr>
                <w:rFonts w:ascii="Cambria Math" w:hAnsi="Cambria Math"/>
                <w:color w:val="000000"/>
                <w:sz w:val="22"/>
                <w:szCs w:val="22"/>
              </w:rPr>
              <m:t>μ</m:t>
            </m:r>
            <m:ctrlPr>
              <w:rPr>
                <w:rFonts w:ascii="Cambria Math" w:hAnsi="Cambria Math"/>
                <w:color w:val="000000"/>
                <w:sz w:val="22"/>
                <w:szCs w:val="22"/>
              </w:rPr>
            </m:ctrlPr>
          </m:sup>
        </m:sSubSup>
      </m:oMath>
      <w:r w:rsidRPr="009C0131">
        <w:rPr>
          <w:rFonts w:eastAsia="Batang"/>
          <w:iCs/>
          <w:color w:val="000000"/>
          <w:kern w:val="2"/>
          <w:sz w:val="20"/>
          <w:szCs w:val="20"/>
          <w:lang w:val="en-GB"/>
        </w:rPr>
        <w:t>can be extended in a simple manner to incorporate the possibility of a cell configured in the multi-DCI mode.</w:t>
      </w:r>
    </w:p>
    <w:p w14:paraId="533FEDD4" w14:textId="77777777" w:rsidR="00B978E0" w:rsidRDefault="00B978E0" w:rsidP="00B978E0">
      <w:pPr>
        <w:jc w:val="both"/>
        <w:rPr>
          <w:rFonts w:eastAsia="Batang"/>
          <w:iCs/>
          <w:color w:val="000000"/>
          <w:kern w:val="2"/>
          <w:sz w:val="20"/>
          <w:szCs w:val="20"/>
          <w:lang w:val="en-GB"/>
        </w:rPr>
      </w:pPr>
    </w:p>
    <w:p w14:paraId="5693B0E3" w14:textId="77777777" w:rsidR="00B978E0" w:rsidRPr="006A3FF3" w:rsidRDefault="00B978E0" w:rsidP="00B978E0">
      <w:pPr>
        <w:jc w:val="both"/>
        <w:rPr>
          <w:rFonts w:eastAsia="Batang"/>
          <w:iCs/>
          <w:color w:val="000000"/>
          <w:kern w:val="2"/>
          <w:sz w:val="20"/>
          <w:szCs w:val="20"/>
        </w:rPr>
      </w:pPr>
      <w:r w:rsidRPr="006A3FF3">
        <w:rPr>
          <w:rFonts w:eastAsia="Batang"/>
          <w:iCs/>
          <w:color w:val="000000"/>
          <w:kern w:val="2"/>
          <w:sz w:val="20"/>
          <w:szCs w:val="20"/>
        </w:rPr>
        <w:t xml:space="preserve">If a UE is configured with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cell,0</m:t>
            </m:r>
          </m:sub>
          <m:sup>
            <m:r>
              <w:rPr>
                <w:rFonts w:ascii="Cambria Math" w:eastAsia="Batang" w:hAnsi="Cambria Math"/>
                <w:color w:val="000000"/>
                <w:kern w:val="2"/>
                <w:sz w:val="20"/>
                <w:szCs w:val="20"/>
              </w:rPr>
              <m:t>DL</m:t>
            </m:r>
          </m:sup>
        </m:sSubSup>
        <m:r>
          <w:rPr>
            <w:rFonts w:ascii="Cambria Math" w:eastAsia="Batang" w:hAnsi="Cambria Math"/>
            <w:color w:val="000000"/>
            <w:kern w:val="2"/>
            <w:sz w:val="20"/>
            <w:szCs w:val="20"/>
          </w:rPr>
          <m:t>+</m:t>
        </m:r>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cell,1</m:t>
            </m:r>
          </m:sub>
          <m:sup>
            <m:r>
              <w:rPr>
                <w:rFonts w:ascii="Cambria Math" w:eastAsia="Batang" w:hAnsi="Cambria Math"/>
                <w:color w:val="000000"/>
                <w:kern w:val="2"/>
                <w:sz w:val="20"/>
                <w:szCs w:val="20"/>
              </w:rPr>
              <m:t>DL</m:t>
            </m:r>
          </m:sup>
        </m:sSubSup>
      </m:oMath>
      <w:r w:rsidRPr="006A3FF3">
        <w:rPr>
          <w:rFonts w:eastAsia="Batang"/>
          <w:iCs/>
          <w:color w:val="000000"/>
          <w:kern w:val="2"/>
          <w:sz w:val="20"/>
          <w:szCs w:val="20"/>
        </w:rPr>
        <w:t xml:space="preserve"> downlink cells, for the UE to determine UE capability </w:t>
      </w:r>
      <w:proofErr w:type="spellStart"/>
      <w:r w:rsidRPr="006A3FF3">
        <w:rPr>
          <w:rFonts w:eastAsia="Batang"/>
          <w:i/>
          <w:iCs/>
          <w:color w:val="000000"/>
          <w:kern w:val="2"/>
          <w:sz w:val="20"/>
          <w:szCs w:val="20"/>
        </w:rPr>
        <w:t>pdcch-BlindDetectionCA</w:t>
      </w:r>
      <w:proofErr w:type="spellEnd"/>
      <w:r w:rsidRPr="006A3FF3">
        <w:rPr>
          <w:rFonts w:eastAsia="Batang"/>
          <w:i/>
          <w:iCs/>
          <w:color w:val="000000"/>
          <w:kern w:val="2"/>
          <w:sz w:val="20"/>
          <w:szCs w:val="20"/>
        </w:rPr>
        <w:t xml:space="preserve">, </w:t>
      </w:r>
      <w:r w:rsidRPr="006A3FF3">
        <w:rPr>
          <w:rFonts w:eastAsia="Batang"/>
          <w:iCs/>
          <w:color w:val="000000"/>
          <w:kern w:val="2"/>
          <w:sz w:val="20"/>
          <w:szCs w:val="20"/>
        </w:rPr>
        <w:t xml:space="preserve">the number of supported serving cells for PDCCH monitoring per slot is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cell,0</m:t>
            </m:r>
          </m:sub>
          <m:sup>
            <m:r>
              <w:rPr>
                <w:rFonts w:ascii="Cambria Math" w:eastAsia="Batang" w:hAnsi="Cambria Math"/>
                <w:color w:val="000000"/>
                <w:kern w:val="2"/>
                <w:sz w:val="20"/>
                <w:szCs w:val="20"/>
              </w:rPr>
              <m:t>DL</m:t>
            </m:r>
          </m:sup>
        </m:sSubSup>
        <m:r>
          <w:rPr>
            <w:rFonts w:ascii="Cambria Math" w:eastAsia="Batang" w:hAnsi="Cambria Math"/>
            <w:color w:val="000000"/>
            <w:kern w:val="2"/>
            <w:sz w:val="20"/>
            <w:szCs w:val="20"/>
          </w:rPr>
          <m:t>+</m:t>
        </m:r>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γN</m:t>
            </m:r>
          </m:e>
          <m:sub>
            <m:r>
              <w:rPr>
                <w:rFonts w:ascii="Cambria Math" w:eastAsia="Batang" w:hAnsi="Cambria Math"/>
                <w:color w:val="000000"/>
                <w:kern w:val="2"/>
                <w:sz w:val="20"/>
                <w:szCs w:val="20"/>
              </w:rPr>
              <m:t>cell,1</m:t>
            </m:r>
          </m:sub>
          <m:sup>
            <m:r>
              <w:rPr>
                <w:rFonts w:ascii="Cambria Math" w:eastAsia="Batang" w:hAnsi="Cambria Math"/>
                <w:color w:val="000000"/>
                <w:kern w:val="2"/>
                <w:sz w:val="20"/>
                <w:szCs w:val="20"/>
              </w:rPr>
              <m:t>DL</m:t>
            </m:r>
          </m:sup>
        </m:sSubSup>
      </m:oMath>
      <w:r w:rsidRPr="006A3FF3">
        <w:rPr>
          <w:rFonts w:eastAsia="Batang"/>
          <w:iCs/>
          <w:color w:val="000000"/>
          <w:kern w:val="2"/>
          <w:sz w:val="20"/>
          <w:szCs w:val="20"/>
        </w:rPr>
        <w:t xml:space="preserve"> </w:t>
      </w:r>
      <w:r>
        <w:rPr>
          <w:rFonts w:eastAsia="Batang"/>
          <w:iCs/>
          <w:color w:val="000000"/>
          <w:kern w:val="2"/>
          <w:sz w:val="20"/>
          <w:szCs w:val="20"/>
        </w:rPr>
        <w:t xml:space="preserve">, where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cell,0</m:t>
            </m:r>
          </m:sub>
          <m:sup>
            <m:r>
              <w:rPr>
                <w:rFonts w:ascii="Cambria Math" w:eastAsia="Batang" w:hAnsi="Cambria Math"/>
                <w:color w:val="000000"/>
                <w:kern w:val="2"/>
                <w:sz w:val="20"/>
                <w:szCs w:val="20"/>
              </w:rPr>
              <m:t>DL</m:t>
            </m:r>
          </m:sup>
        </m:sSubSup>
        <m:r>
          <w:rPr>
            <w:rFonts w:ascii="Cambria Math" w:eastAsia="Batang" w:hAnsi="Cambria Math"/>
            <w:color w:val="000000"/>
            <w:kern w:val="2"/>
            <w:sz w:val="20"/>
            <w:szCs w:val="20"/>
          </w:rPr>
          <m:t xml:space="preserve"> </m:t>
        </m:r>
      </m:oMath>
      <w:r w:rsidRPr="006A3FF3">
        <w:rPr>
          <w:rFonts w:eastAsia="Batang"/>
          <w:iCs/>
          <w:color w:val="000000"/>
          <w:kern w:val="2"/>
          <w:sz w:val="20"/>
          <w:szCs w:val="20"/>
        </w:rPr>
        <w:t>indicates the number of cells for single-DCI or single-TRP mode</w:t>
      </w:r>
      <w:r>
        <w:rPr>
          <w:rFonts w:eastAsia="Batang"/>
          <w:iCs/>
          <w:color w:val="000000"/>
          <w:kern w:val="2"/>
          <w:sz w:val="20"/>
          <w:szCs w:val="20"/>
        </w:rPr>
        <w:t xml:space="preserve">,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cell,1</m:t>
            </m:r>
          </m:sub>
          <m:sup>
            <m:r>
              <w:rPr>
                <w:rFonts w:ascii="Cambria Math" w:eastAsia="Batang" w:hAnsi="Cambria Math"/>
                <w:color w:val="000000"/>
                <w:kern w:val="2"/>
                <w:sz w:val="20"/>
                <w:szCs w:val="20"/>
              </w:rPr>
              <m:t>DL</m:t>
            </m:r>
          </m:sup>
        </m:sSubSup>
      </m:oMath>
      <w:r w:rsidRPr="006A3FF3">
        <w:rPr>
          <w:rFonts w:eastAsia="Batang"/>
          <w:iCs/>
          <w:color w:val="000000"/>
          <w:kern w:val="2"/>
          <w:sz w:val="20"/>
          <w:szCs w:val="20"/>
        </w:rPr>
        <w:t xml:space="preserve">  indicates the number of cells for multi-DCI mode</w:t>
      </w:r>
      <w:r>
        <w:rPr>
          <w:rFonts w:eastAsia="Batang"/>
          <w:iCs/>
          <w:color w:val="000000"/>
          <w:kern w:val="2"/>
          <w:sz w:val="20"/>
          <w:szCs w:val="20"/>
        </w:rPr>
        <w:t xml:space="preserve"> and </w:t>
      </w:r>
      <m:oMath>
        <m:r>
          <w:rPr>
            <w:rFonts w:ascii="Cambria Math" w:eastAsia="Batang" w:hAnsi="Cambria Math"/>
            <w:color w:val="000000"/>
            <w:kern w:val="2"/>
            <w:sz w:val="20"/>
            <w:szCs w:val="20"/>
          </w:rPr>
          <m:t>γ</m:t>
        </m:r>
      </m:oMath>
      <w:r w:rsidRPr="006A3FF3">
        <w:rPr>
          <w:rFonts w:eastAsia="Batang"/>
          <w:iCs/>
          <w:color w:val="000000"/>
          <w:kern w:val="2"/>
          <w:sz w:val="20"/>
          <w:szCs w:val="20"/>
        </w:rPr>
        <w:t xml:space="preserve"> is derived from a variable, R, a UE capability</w:t>
      </w:r>
      <w:r>
        <w:rPr>
          <w:rFonts w:eastAsia="Batang"/>
          <w:iCs/>
          <w:color w:val="000000"/>
          <w:kern w:val="2"/>
          <w:sz w:val="20"/>
          <w:szCs w:val="20"/>
        </w:rPr>
        <w:t xml:space="preserve"> with R = 1 (single DCI TRP operation) or 2 (multi-DCI TRP operation)</w:t>
      </w:r>
      <w:r w:rsidRPr="006A3FF3">
        <w:rPr>
          <w:rFonts w:eastAsia="Batang"/>
          <w:iCs/>
          <w:color w:val="000000"/>
          <w:kern w:val="2"/>
          <w:sz w:val="20"/>
          <w:szCs w:val="20"/>
        </w:rPr>
        <w:t>.</w:t>
      </w:r>
      <w:r>
        <w:rPr>
          <w:rFonts w:eastAsia="Batang"/>
          <w:iCs/>
          <w:color w:val="000000"/>
          <w:kern w:val="2"/>
          <w:sz w:val="20"/>
          <w:szCs w:val="20"/>
        </w:rPr>
        <w:t xml:space="preserve"> </w:t>
      </w:r>
      <w:r w:rsidRPr="006A3FF3">
        <w:rPr>
          <w:rFonts w:eastAsia="Batang"/>
          <w:iCs/>
          <w:color w:val="000000"/>
          <w:kern w:val="2"/>
          <w:sz w:val="20"/>
          <w:szCs w:val="20"/>
        </w:rPr>
        <w:t xml:space="preserve">The maximum number of total PDCCH candidates and non-overlapped CCEs are scaled by r times compared to Rel-15 per cell for the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cell,1</m:t>
            </m:r>
          </m:sub>
          <m:sup>
            <m:r>
              <w:rPr>
                <w:rFonts w:ascii="Cambria Math" w:eastAsia="Batang" w:hAnsi="Cambria Math"/>
                <w:color w:val="000000"/>
                <w:kern w:val="2"/>
                <w:sz w:val="20"/>
                <w:szCs w:val="20"/>
              </w:rPr>
              <m:t>DL</m:t>
            </m:r>
          </m:sup>
        </m:sSubSup>
      </m:oMath>
      <w:r w:rsidRPr="006A3FF3">
        <w:rPr>
          <w:rFonts w:eastAsia="Batang"/>
          <w:iCs/>
          <w:color w:val="000000"/>
          <w:kern w:val="2"/>
          <w:sz w:val="20"/>
          <w:szCs w:val="20"/>
        </w:rPr>
        <w:t xml:space="preserve">  cells, i.e. the cells with multi-DCI multi-TRP operation.</w:t>
      </w:r>
    </w:p>
    <w:p w14:paraId="7AF5CA41" w14:textId="77777777" w:rsidR="00B978E0" w:rsidRDefault="00B978E0" w:rsidP="00B978E0">
      <w:pPr>
        <w:jc w:val="both"/>
        <w:rPr>
          <w:rFonts w:eastAsia="Batang"/>
          <w:iCs/>
          <w:color w:val="000000"/>
          <w:kern w:val="2"/>
          <w:sz w:val="20"/>
          <w:szCs w:val="20"/>
        </w:rPr>
      </w:pPr>
    </w:p>
    <w:p w14:paraId="425D1EFE" w14:textId="77777777" w:rsidR="00B978E0" w:rsidRDefault="00B978E0" w:rsidP="00B978E0">
      <w:pPr>
        <w:jc w:val="both"/>
        <w:rPr>
          <w:rFonts w:eastAsia="Batang"/>
          <w:iCs/>
          <w:color w:val="000000"/>
          <w:kern w:val="2"/>
          <w:sz w:val="20"/>
          <w:szCs w:val="20"/>
        </w:rPr>
      </w:pPr>
      <w:r>
        <w:rPr>
          <w:rFonts w:eastAsia="Batang"/>
          <w:iCs/>
          <w:color w:val="000000"/>
          <w:kern w:val="2"/>
          <w:sz w:val="20"/>
          <w:szCs w:val="20"/>
        </w:rPr>
        <w:t>In a multi-DCI M-TRP system, f</w:t>
      </w:r>
      <w:r w:rsidRPr="006A3FF3">
        <w:rPr>
          <w:rFonts w:eastAsia="Batang"/>
          <w:iCs/>
          <w:color w:val="000000"/>
          <w:kern w:val="2"/>
          <w:sz w:val="20"/>
          <w:szCs w:val="20"/>
        </w:rPr>
        <w:t xml:space="preserve">or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cell,0</m:t>
            </m:r>
          </m:sub>
          <m:sup>
            <m:r>
              <w:rPr>
                <w:rFonts w:ascii="Cambria Math" w:eastAsia="Batang" w:hAnsi="Cambria Math"/>
                <w:color w:val="000000"/>
                <w:kern w:val="2"/>
                <w:sz w:val="20"/>
                <w:szCs w:val="20"/>
              </w:rPr>
              <m:t>DL</m:t>
            </m:r>
          </m:sup>
        </m:sSubSup>
        <m:r>
          <w:rPr>
            <w:rFonts w:ascii="Cambria Math" w:eastAsia="Batang" w:hAnsi="Cambria Math"/>
            <w:color w:val="000000"/>
            <w:kern w:val="2"/>
            <w:sz w:val="20"/>
            <w:szCs w:val="20"/>
          </w:rPr>
          <m:t>+</m:t>
        </m:r>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cell,1</m:t>
            </m:r>
          </m:sub>
          <m:sup>
            <m:r>
              <w:rPr>
                <w:rFonts w:ascii="Cambria Math" w:eastAsia="Batang" w:hAnsi="Cambria Math"/>
                <w:color w:val="000000"/>
                <w:kern w:val="2"/>
                <w:sz w:val="20"/>
                <w:szCs w:val="20"/>
              </w:rPr>
              <m:t>DL</m:t>
            </m:r>
          </m:sup>
        </m:sSubSup>
      </m:oMath>
      <w:r w:rsidRPr="006A3FF3">
        <w:rPr>
          <w:rFonts w:eastAsia="Batang"/>
          <w:iCs/>
          <w:color w:val="000000"/>
          <w:kern w:val="2"/>
          <w:sz w:val="20"/>
          <w:szCs w:val="20"/>
        </w:rPr>
        <w:t xml:space="preserve">   downlink cells, if a UE is configured with  </w:t>
      </w:r>
      <m:oMath>
        <m:nary>
          <m:naryPr>
            <m:chr m:val="∑"/>
            <m:limLoc m:val="undOvr"/>
            <m:ctrlPr>
              <w:rPr>
                <w:rFonts w:ascii="Cambria Math" w:eastAsia="Batang" w:hAnsi="Cambria Math"/>
                <w:i/>
                <w:iCs/>
                <w:color w:val="000000"/>
                <w:kern w:val="2"/>
                <w:sz w:val="20"/>
                <w:szCs w:val="20"/>
              </w:rPr>
            </m:ctrlPr>
          </m:naryPr>
          <m:sub>
            <m:r>
              <w:rPr>
                <w:rFonts w:ascii="Cambria Math" w:eastAsia="Batang" w:hAnsi="Cambria Math"/>
                <w:color w:val="000000"/>
                <w:kern w:val="2"/>
                <w:sz w:val="20"/>
                <w:szCs w:val="20"/>
              </w:rPr>
              <m:t>j=0</m:t>
            </m:r>
          </m:sub>
          <m:sup>
            <m:r>
              <w:rPr>
                <w:rFonts w:ascii="Cambria Math" w:eastAsia="Batang" w:hAnsi="Cambria Math"/>
                <w:color w:val="000000"/>
                <w:kern w:val="2"/>
                <w:sz w:val="20"/>
                <w:szCs w:val="20"/>
              </w:rPr>
              <m:t>1</m:t>
            </m:r>
          </m:sup>
          <m:e>
            <m:d>
              <m:dPr>
                <m:ctrlPr>
                  <w:rPr>
                    <w:rFonts w:ascii="Cambria Math" w:eastAsia="Batang" w:hAnsi="Cambria Math"/>
                    <w:i/>
                    <w:iCs/>
                    <w:color w:val="000000"/>
                    <w:kern w:val="2"/>
                    <w:sz w:val="20"/>
                    <w:szCs w:val="20"/>
                  </w:rPr>
                </m:ctrlPr>
              </m:dPr>
              <m:e>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cell,0</m:t>
                    </m:r>
                  </m:sub>
                  <m:sup>
                    <m:r>
                      <w:rPr>
                        <w:rFonts w:ascii="Cambria Math" w:eastAsia="Batang" w:hAnsi="Cambria Math"/>
                        <w:color w:val="000000"/>
                        <w:kern w:val="2"/>
                        <w:sz w:val="20"/>
                        <w:szCs w:val="20"/>
                      </w:rPr>
                      <m:t>DL,</m:t>
                    </m:r>
                    <m:d>
                      <m:dPr>
                        <m:ctrlPr>
                          <w:rPr>
                            <w:rFonts w:ascii="Cambria Math" w:eastAsia="Batang" w:hAnsi="Cambria Math"/>
                            <w:i/>
                            <w:iCs/>
                            <w:color w:val="000000"/>
                            <w:kern w:val="2"/>
                            <w:sz w:val="20"/>
                            <w:szCs w:val="20"/>
                          </w:rPr>
                        </m:ctrlPr>
                      </m:dPr>
                      <m:e>
                        <m:r>
                          <w:rPr>
                            <w:rFonts w:ascii="Cambria Math" w:eastAsia="Batang" w:hAnsi="Cambria Math"/>
                            <w:color w:val="000000"/>
                            <w:kern w:val="2"/>
                            <w:sz w:val="20"/>
                            <w:szCs w:val="20"/>
                          </w:rPr>
                          <m:t>X,Y</m:t>
                        </m:r>
                      </m:e>
                    </m:d>
                    <m:r>
                      <w:rPr>
                        <w:rFonts w:ascii="Cambria Math" w:eastAsia="Batang" w:hAnsi="Cambria Math"/>
                        <w:color w:val="000000"/>
                        <w:kern w:val="2"/>
                        <w:sz w:val="20"/>
                        <w:szCs w:val="20"/>
                      </w:rPr>
                      <m:t>,j</m:t>
                    </m:r>
                  </m:sup>
                </m:sSubSup>
                <m:r>
                  <w:rPr>
                    <w:rFonts w:ascii="Cambria Math" w:eastAsia="Batang" w:hAnsi="Cambria Math"/>
                    <w:color w:val="000000"/>
                    <w:kern w:val="2"/>
                    <w:sz w:val="20"/>
                    <w:szCs w:val="20"/>
                  </w:rPr>
                  <m:t>+γ</m:t>
                </m:r>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N</m:t>
                    </m:r>
                  </m:e>
                  <m:sub>
                    <m:r>
                      <w:rPr>
                        <w:rFonts w:ascii="Cambria Math" w:eastAsia="Batang" w:hAnsi="Cambria Math"/>
                        <w:color w:val="000000"/>
                        <w:kern w:val="2"/>
                        <w:sz w:val="20"/>
                        <w:szCs w:val="20"/>
                      </w:rPr>
                      <m:t>cell,1</m:t>
                    </m:r>
                  </m:sub>
                  <m:sup>
                    <m:r>
                      <w:rPr>
                        <w:rFonts w:ascii="Cambria Math" w:eastAsia="Batang" w:hAnsi="Cambria Math"/>
                        <w:color w:val="000000"/>
                        <w:kern w:val="2"/>
                        <w:sz w:val="20"/>
                        <w:szCs w:val="20"/>
                      </w:rPr>
                      <m:t>DL,</m:t>
                    </m:r>
                    <m:d>
                      <m:dPr>
                        <m:ctrlPr>
                          <w:rPr>
                            <w:rFonts w:ascii="Cambria Math" w:eastAsia="Batang" w:hAnsi="Cambria Math"/>
                            <w:i/>
                            <w:iCs/>
                            <w:color w:val="000000"/>
                            <w:kern w:val="2"/>
                            <w:sz w:val="20"/>
                            <w:szCs w:val="20"/>
                          </w:rPr>
                        </m:ctrlPr>
                      </m:dPr>
                      <m:e>
                        <m:r>
                          <w:rPr>
                            <w:rFonts w:ascii="Cambria Math" w:eastAsia="Batang" w:hAnsi="Cambria Math"/>
                            <w:color w:val="000000"/>
                            <w:kern w:val="2"/>
                            <w:sz w:val="20"/>
                            <w:szCs w:val="20"/>
                          </w:rPr>
                          <m:t>X,Y</m:t>
                        </m:r>
                      </m:e>
                    </m:d>
                    <m:r>
                      <w:rPr>
                        <w:rFonts w:ascii="Cambria Math" w:eastAsia="Batang" w:hAnsi="Cambria Math"/>
                        <w:color w:val="000000"/>
                        <w:kern w:val="2"/>
                        <w:sz w:val="20"/>
                        <w:szCs w:val="20"/>
                      </w:rPr>
                      <m:t>,j</m:t>
                    </m:r>
                  </m:sup>
                </m:sSubSup>
                <m:r>
                  <m:rPr>
                    <m:sty m:val="p"/>
                  </m:rPr>
                  <w:rPr>
                    <w:rFonts w:ascii="Cambria Math" w:eastAsia="Batang" w:hAnsi="Cambria Math"/>
                    <w:color w:val="000000"/>
                    <w:kern w:val="2"/>
                    <w:sz w:val="20"/>
                    <w:szCs w:val="20"/>
                  </w:rPr>
                  <m:t xml:space="preserve"> </m:t>
                </m:r>
              </m:e>
            </m:d>
            <m:r>
              <w:rPr>
                <w:rFonts w:ascii="Cambria Math" w:eastAsia="Batang" w:hAnsi="Cambria Math"/>
                <w:color w:val="000000"/>
                <w:kern w:val="2"/>
                <w:sz w:val="20"/>
                <w:szCs w:val="20"/>
              </w:rPr>
              <m:t>&gt;Z</m:t>
            </m:r>
          </m:e>
        </m:nary>
      </m:oMath>
      <w:r w:rsidRPr="006A3FF3">
        <w:rPr>
          <w:rFonts w:eastAsia="Batang"/>
          <w:iCs/>
          <w:color w:val="000000"/>
          <w:kern w:val="2"/>
          <w:sz w:val="20"/>
          <w:szCs w:val="20"/>
        </w:rPr>
        <w:t xml:space="preserve">, (where Z is a pre-defined limit,  e.g. 4),  with Rel-16 PDCCH monitoring capability with an associated combination (X, Y) and SCS configuration µ, the UE is not required to monitor more than  </w:t>
      </w:r>
      <m:oMath>
        <m:sSubSup>
          <m:sSubSupPr>
            <m:ctrlPr>
              <w:rPr>
                <w:rFonts w:ascii="Cambria Math" w:eastAsia="Batang" w:hAnsi="Cambria Math"/>
                <w:i/>
                <w:iCs/>
                <w:color w:val="000000"/>
                <w:kern w:val="2"/>
                <w:sz w:val="20"/>
                <w:szCs w:val="20"/>
              </w:rPr>
            </m:ctrlPr>
          </m:sSubSupPr>
          <m:e>
            <m:r>
              <w:rPr>
                <w:rFonts w:ascii="Cambria Math" w:eastAsia="Batang" w:hAnsi="Cambria Math"/>
                <w:color w:val="000000"/>
                <w:kern w:val="2"/>
                <w:sz w:val="20"/>
                <w:szCs w:val="20"/>
              </w:rPr>
              <m:t>C</m:t>
            </m:r>
          </m:e>
          <m:sub>
            <m:r>
              <w:rPr>
                <w:rFonts w:ascii="Cambria Math" w:eastAsia="Batang" w:hAnsi="Cambria Math"/>
                <w:color w:val="000000"/>
                <w:kern w:val="2"/>
                <w:sz w:val="20"/>
                <w:szCs w:val="20"/>
              </w:rPr>
              <m:t>PDCCH</m:t>
            </m:r>
          </m:sub>
          <m:sup>
            <m:r>
              <w:rPr>
                <w:rFonts w:ascii="Cambria Math" w:eastAsia="Batang" w:hAnsi="Cambria Math"/>
                <w:color w:val="000000"/>
                <w:kern w:val="2"/>
                <w:sz w:val="20"/>
                <w:szCs w:val="20"/>
              </w:rPr>
              <m:t xml:space="preserve">total, </m:t>
            </m:r>
            <m:d>
              <m:dPr>
                <m:ctrlPr>
                  <w:rPr>
                    <w:rFonts w:ascii="Cambria Math" w:eastAsia="Batang" w:hAnsi="Cambria Math"/>
                    <w:i/>
                    <w:iCs/>
                    <w:color w:val="000000"/>
                    <w:kern w:val="2"/>
                    <w:sz w:val="20"/>
                    <w:szCs w:val="20"/>
                  </w:rPr>
                </m:ctrlPr>
              </m:dPr>
              <m:e>
                <m:r>
                  <w:rPr>
                    <w:rFonts w:ascii="Cambria Math" w:eastAsia="Batang" w:hAnsi="Cambria Math"/>
                    <w:color w:val="000000"/>
                    <w:kern w:val="2"/>
                    <w:sz w:val="20"/>
                    <w:szCs w:val="20"/>
                  </w:rPr>
                  <m:t>X,Y</m:t>
                </m:r>
              </m:e>
            </m:d>
            <m:r>
              <w:rPr>
                <w:rFonts w:ascii="Cambria Math" w:eastAsia="Batang" w:hAnsi="Cambria Math"/>
                <w:color w:val="000000"/>
                <w:kern w:val="2"/>
                <w:sz w:val="20"/>
                <w:szCs w:val="20"/>
              </w:rPr>
              <m:t>,μ</m:t>
            </m:r>
          </m:sup>
        </m:sSubSup>
      </m:oMath>
      <w:r w:rsidRPr="006A3FF3">
        <w:rPr>
          <w:rFonts w:eastAsia="Batang"/>
          <w:iCs/>
          <w:color w:val="000000"/>
          <w:kern w:val="2"/>
          <w:sz w:val="20"/>
          <w:szCs w:val="20"/>
        </w:rPr>
        <w:t xml:space="preserve"> non-overlapping CCEs per span on the active DL BWP(s) of scheduling cell(s) from the  downlink cells, where</w:t>
      </w:r>
    </w:p>
    <w:p w14:paraId="097AC806" w14:textId="77777777" w:rsidR="00B978E0" w:rsidRDefault="00B978E0" w:rsidP="00B978E0">
      <w:pPr>
        <w:jc w:val="both"/>
        <w:rPr>
          <w:rFonts w:eastAsia="Batang"/>
          <w:iCs/>
          <w:color w:val="000000"/>
          <w:kern w:val="2"/>
          <w:sz w:val="20"/>
          <w:szCs w:val="20"/>
        </w:rPr>
      </w:pPr>
    </w:p>
    <w:p w14:paraId="4658482D" w14:textId="77777777" w:rsidR="00B978E0" w:rsidRPr="009C0131" w:rsidRDefault="00B978E0" w:rsidP="00B978E0">
      <w:pPr>
        <w:jc w:val="both"/>
        <w:rPr>
          <w:rFonts w:eastAsia="Batang"/>
          <w:iCs/>
          <w:color w:val="000000"/>
          <w:kern w:val="2"/>
          <w:sz w:val="20"/>
          <w:szCs w:val="20"/>
          <w:lang w:val="en-GB"/>
        </w:rPr>
      </w:pPr>
      <w:r w:rsidRPr="006A3FF3">
        <w:rPr>
          <w:rFonts w:eastAsia="Batang"/>
          <w:iCs/>
          <w:noProof/>
          <w:color w:val="000000"/>
          <w:kern w:val="2"/>
          <w:sz w:val="20"/>
          <w:szCs w:val="20"/>
        </w:rPr>
        <w:drawing>
          <wp:inline distT="0" distB="0" distL="0" distR="0" wp14:anchorId="2C061F10" wp14:editId="01E269C8">
            <wp:extent cx="5727700" cy="4413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441325"/>
                    </a:xfrm>
                    <a:prstGeom prst="rect">
                      <a:avLst/>
                    </a:prstGeom>
                  </pic:spPr>
                </pic:pic>
              </a:graphicData>
            </a:graphic>
          </wp:inline>
        </w:drawing>
      </w:r>
    </w:p>
    <w:p w14:paraId="43D5B074" w14:textId="77777777" w:rsidR="00B978E0" w:rsidRDefault="00B978E0" w:rsidP="00B978E0">
      <w:pPr>
        <w:jc w:val="both"/>
        <w:rPr>
          <w:rFonts w:eastAsia="Batang"/>
          <w:i/>
          <w:color w:val="000000"/>
          <w:kern w:val="2"/>
          <w:sz w:val="20"/>
          <w:szCs w:val="20"/>
          <w:lang w:val="en-GB"/>
        </w:rPr>
      </w:pPr>
    </w:p>
    <w:p w14:paraId="77DF1E44" w14:textId="77777777" w:rsidR="00B978E0" w:rsidRDefault="00B978E0" w:rsidP="00B978E0">
      <w:pPr>
        <w:jc w:val="both"/>
        <w:rPr>
          <w:rFonts w:eastAsia="Batang"/>
          <w:i/>
          <w:color w:val="000000"/>
          <w:kern w:val="2"/>
          <w:sz w:val="20"/>
          <w:szCs w:val="20"/>
        </w:rPr>
      </w:pPr>
      <w:r w:rsidRPr="009C0131">
        <w:rPr>
          <w:rFonts w:eastAsia="Batang"/>
          <w:b/>
          <w:bCs/>
          <w:i/>
          <w:color w:val="000000"/>
          <w:kern w:val="2"/>
          <w:sz w:val="20"/>
          <w:szCs w:val="20"/>
        </w:rPr>
        <w:t xml:space="preserve">Proposal </w:t>
      </w:r>
      <w:r>
        <w:rPr>
          <w:rFonts w:eastAsia="Batang"/>
          <w:b/>
          <w:bCs/>
          <w:i/>
          <w:color w:val="000000"/>
          <w:kern w:val="2"/>
          <w:sz w:val="20"/>
          <w:szCs w:val="20"/>
        </w:rPr>
        <w:t>2</w:t>
      </w:r>
      <w:r w:rsidRPr="009C0131">
        <w:rPr>
          <w:rFonts w:eastAsia="Batang"/>
          <w:b/>
          <w:bCs/>
          <w:i/>
          <w:color w:val="000000"/>
          <w:kern w:val="2"/>
          <w:sz w:val="20"/>
          <w:szCs w:val="20"/>
        </w:rPr>
        <w:t>:</w:t>
      </w:r>
      <w:r w:rsidRPr="009C0131">
        <w:rPr>
          <w:rFonts w:eastAsia="Batang"/>
          <w:i/>
          <w:color w:val="000000"/>
          <w:kern w:val="2"/>
          <w:sz w:val="20"/>
          <w:szCs w:val="20"/>
        </w:rPr>
        <w:t xml:space="preserve"> </w:t>
      </w:r>
      <w:r>
        <w:rPr>
          <w:rFonts w:eastAsia="Batang"/>
          <w:i/>
          <w:color w:val="000000"/>
          <w:kern w:val="2"/>
          <w:sz w:val="20"/>
          <w:szCs w:val="20"/>
        </w:rPr>
        <w:t>T</w:t>
      </w:r>
      <w:r w:rsidRPr="009C0131">
        <w:rPr>
          <w:rFonts w:eastAsia="Batang"/>
          <w:i/>
          <w:color w:val="000000"/>
          <w:kern w:val="2"/>
          <w:sz w:val="20"/>
          <w:szCs w:val="20"/>
        </w:rPr>
        <w:t xml:space="preserve">he </w:t>
      </w:r>
      <w:r>
        <w:rPr>
          <w:rFonts w:eastAsia="Batang"/>
          <w:i/>
          <w:iCs/>
          <w:color w:val="000000"/>
          <w:kern w:val="2"/>
          <w:sz w:val="20"/>
          <w:szCs w:val="20"/>
        </w:rPr>
        <w:t>c</w:t>
      </w:r>
      <w:r w:rsidRPr="006A3FF3">
        <w:rPr>
          <w:rFonts w:eastAsia="Batang"/>
          <w:i/>
          <w:iCs/>
          <w:color w:val="000000"/>
          <w:kern w:val="2"/>
          <w:sz w:val="20"/>
          <w:szCs w:val="20"/>
        </w:rPr>
        <w:t xml:space="preserve">apability </w:t>
      </w:r>
      <w:r>
        <w:rPr>
          <w:rFonts w:eastAsia="Batang"/>
          <w:i/>
          <w:iCs/>
          <w:color w:val="000000"/>
          <w:kern w:val="2"/>
          <w:sz w:val="20"/>
          <w:szCs w:val="20"/>
        </w:rPr>
        <w:t>s</w:t>
      </w:r>
      <w:r w:rsidRPr="006A3FF3">
        <w:rPr>
          <w:rFonts w:eastAsia="Batang"/>
          <w:i/>
          <w:iCs/>
          <w:color w:val="000000"/>
          <w:kern w:val="2"/>
          <w:sz w:val="20"/>
          <w:szCs w:val="20"/>
        </w:rPr>
        <w:t xml:space="preserve">caling for Carrier Aggregation </w:t>
      </w:r>
      <w:r w:rsidRPr="009C0131">
        <w:rPr>
          <w:rFonts w:eastAsia="Batang"/>
          <w:i/>
          <w:color w:val="000000"/>
          <w:kern w:val="2"/>
          <w:sz w:val="20"/>
          <w:szCs w:val="20"/>
        </w:rPr>
        <w:t>when the reported capability is less than the actual configured number of CCs should be extended to the multi-</w:t>
      </w:r>
      <w:r>
        <w:rPr>
          <w:rFonts w:eastAsia="Batang"/>
          <w:i/>
          <w:color w:val="000000"/>
          <w:kern w:val="2"/>
          <w:sz w:val="20"/>
          <w:szCs w:val="20"/>
        </w:rPr>
        <w:t>TRP</w:t>
      </w:r>
      <w:r w:rsidRPr="009C0131">
        <w:rPr>
          <w:rFonts w:eastAsia="Batang"/>
          <w:i/>
          <w:color w:val="000000"/>
          <w:kern w:val="2"/>
          <w:sz w:val="20"/>
          <w:szCs w:val="20"/>
        </w:rPr>
        <w:t xml:space="preserve"> case. </w:t>
      </w:r>
    </w:p>
    <w:p w14:paraId="45990586" w14:textId="77777777" w:rsidR="00B978E0" w:rsidRDefault="00B978E0" w:rsidP="00B978E0">
      <w:pPr>
        <w:jc w:val="both"/>
        <w:rPr>
          <w:rFonts w:eastAsia="Batang"/>
          <w:i/>
          <w:color w:val="000000"/>
          <w:kern w:val="2"/>
          <w:sz w:val="20"/>
          <w:szCs w:val="20"/>
        </w:rPr>
      </w:pPr>
    </w:p>
    <w:p w14:paraId="1A75B209" w14:textId="77777777" w:rsidR="00B978E0" w:rsidRPr="009C0131" w:rsidRDefault="00B978E0" w:rsidP="00B978E0">
      <w:pPr>
        <w:pStyle w:val="Heading1"/>
        <w:rPr>
          <w:i/>
          <w:iCs/>
          <w:lang w:val="en-GB"/>
        </w:rPr>
      </w:pPr>
      <w:r>
        <w:rPr>
          <w:iCs/>
        </w:rPr>
        <w:lastRenderedPageBreak/>
        <w:t>DCI Size Alignment</w:t>
      </w:r>
    </w:p>
    <w:p w14:paraId="303BBA45"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In RAN1 #100-e, there were extensive discussions on extending DCI size alignment in TS 38.212 based on the introduction of the new DCI formats 0_2 and 1_2. However, in RAN1 #100-bis-e, the discussions were postponed due to the heavy workload.</w:t>
      </w:r>
    </w:p>
    <w:p w14:paraId="7E65A8FA" w14:textId="77777777" w:rsidR="00B978E0" w:rsidRDefault="00B978E0" w:rsidP="00B978E0">
      <w:pPr>
        <w:jc w:val="both"/>
        <w:rPr>
          <w:rFonts w:eastAsia="Batang"/>
          <w:iCs/>
          <w:color w:val="000000"/>
          <w:kern w:val="2"/>
          <w:sz w:val="20"/>
          <w:szCs w:val="20"/>
          <w:lang w:val="en-GB"/>
        </w:rPr>
      </w:pPr>
    </w:p>
    <w:p w14:paraId="1D107CB4"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From the discussions, two main options were introduced with the key ideas of each option as follows:</w:t>
      </w:r>
    </w:p>
    <w:p w14:paraId="1C8CBEDD" w14:textId="77777777" w:rsidR="00B978E0" w:rsidRDefault="00B978E0" w:rsidP="00B978E0">
      <w:pPr>
        <w:jc w:val="both"/>
        <w:rPr>
          <w:rFonts w:eastAsia="Batang"/>
          <w:iCs/>
          <w:color w:val="000000"/>
          <w:kern w:val="2"/>
          <w:sz w:val="20"/>
          <w:szCs w:val="20"/>
          <w:lang w:val="en-GB"/>
        </w:rPr>
      </w:pPr>
    </w:p>
    <w:p w14:paraId="5E82E3F9"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Option 1: Support zero padding in the same manner as Rel-15.</w:t>
      </w:r>
    </w:p>
    <w:p w14:paraId="5E70B06E"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 xml:space="preserve">Option 2: Given that DCI format x_2 is configurable, it is feasible that the </w:t>
      </w:r>
      <w:proofErr w:type="spellStart"/>
      <w:r>
        <w:rPr>
          <w:rFonts w:eastAsia="Batang"/>
          <w:iCs/>
          <w:color w:val="000000"/>
          <w:kern w:val="2"/>
          <w:sz w:val="20"/>
          <w:szCs w:val="20"/>
          <w:lang w:val="en-GB"/>
        </w:rPr>
        <w:t>gNB</w:t>
      </w:r>
      <w:proofErr w:type="spellEnd"/>
      <w:r>
        <w:rPr>
          <w:rFonts w:eastAsia="Batang"/>
          <w:iCs/>
          <w:color w:val="000000"/>
          <w:kern w:val="2"/>
          <w:sz w:val="20"/>
          <w:szCs w:val="20"/>
          <w:lang w:val="en-GB"/>
        </w:rPr>
        <w:t xml:space="preserve"> handle the configuration.</w:t>
      </w:r>
    </w:p>
    <w:p w14:paraId="242D5829"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 xml:space="preserve">Option 3: Compromise  </w:t>
      </w:r>
    </w:p>
    <w:p w14:paraId="7A9BDB75" w14:textId="77777777" w:rsidR="00B978E0" w:rsidRDefault="00B978E0" w:rsidP="00B978E0">
      <w:pPr>
        <w:jc w:val="both"/>
        <w:rPr>
          <w:rFonts w:eastAsia="Batang"/>
          <w:iCs/>
          <w:color w:val="000000"/>
          <w:kern w:val="2"/>
          <w:sz w:val="20"/>
          <w:szCs w:val="20"/>
          <w:lang w:val="en-GB"/>
        </w:rPr>
      </w:pPr>
    </w:p>
    <w:p w14:paraId="483F0B0B"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 xml:space="preserve">From our point of view, we agree with the cons identified by the FL that Option 1 may place an undue burden on the UE implementation for a feature that can be very simply handled by the </w:t>
      </w:r>
      <w:proofErr w:type="spellStart"/>
      <w:r>
        <w:rPr>
          <w:rFonts w:eastAsia="Batang"/>
          <w:iCs/>
          <w:color w:val="000000"/>
          <w:kern w:val="2"/>
          <w:sz w:val="20"/>
          <w:szCs w:val="20"/>
          <w:lang w:val="en-GB"/>
        </w:rPr>
        <w:t>gNB</w:t>
      </w:r>
      <w:proofErr w:type="spellEnd"/>
      <w:r>
        <w:rPr>
          <w:rFonts w:eastAsia="Batang"/>
          <w:iCs/>
          <w:color w:val="000000"/>
          <w:kern w:val="2"/>
          <w:sz w:val="20"/>
          <w:szCs w:val="20"/>
          <w:lang w:val="en-GB"/>
        </w:rPr>
        <w:t xml:space="preserve"> and as such we support Option </w:t>
      </w:r>
      <w:proofErr w:type="gramStart"/>
      <w:r>
        <w:rPr>
          <w:rFonts w:eastAsia="Batang"/>
          <w:iCs/>
          <w:color w:val="000000"/>
          <w:kern w:val="2"/>
          <w:sz w:val="20"/>
          <w:szCs w:val="20"/>
          <w:lang w:val="en-GB"/>
        </w:rPr>
        <w:t>2  as</w:t>
      </w:r>
      <w:proofErr w:type="gramEnd"/>
      <w:r>
        <w:rPr>
          <w:rFonts w:eastAsia="Batang"/>
          <w:iCs/>
          <w:color w:val="000000"/>
          <w:kern w:val="2"/>
          <w:sz w:val="20"/>
          <w:szCs w:val="20"/>
          <w:lang w:val="en-GB"/>
        </w:rPr>
        <w:t xml:space="preserve"> follows:</w:t>
      </w:r>
    </w:p>
    <w:p w14:paraId="3597826F" w14:textId="77777777" w:rsidR="00B978E0" w:rsidRDefault="00B978E0" w:rsidP="00B978E0">
      <w:pPr>
        <w:jc w:val="both"/>
        <w:rPr>
          <w:rFonts w:eastAsia="Batang"/>
          <w:iCs/>
          <w:color w:val="000000"/>
          <w:kern w:val="2"/>
          <w:sz w:val="20"/>
          <w:szCs w:val="20"/>
          <w:lang w:val="en-GB"/>
        </w:rPr>
      </w:pPr>
    </w:p>
    <w:p w14:paraId="1073A336" w14:textId="77777777" w:rsidR="00B978E0" w:rsidRPr="00815132" w:rsidRDefault="00B978E0" w:rsidP="00B978E0">
      <w:pPr>
        <w:pStyle w:val="ListParagraph"/>
        <w:numPr>
          <w:ilvl w:val="0"/>
          <w:numId w:val="3"/>
        </w:numPr>
        <w:autoSpaceDE w:val="0"/>
        <w:autoSpaceDN w:val="0"/>
        <w:adjustRightInd w:val="0"/>
        <w:snapToGrid w:val="0"/>
        <w:spacing w:after="120"/>
        <w:ind w:leftChars="0"/>
        <w:contextualSpacing/>
        <w:jc w:val="both"/>
        <w:rPr>
          <w:i/>
        </w:rPr>
      </w:pPr>
      <w:r w:rsidRPr="00815132">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3F48FBA6" w14:textId="77777777" w:rsidR="00B978E0" w:rsidRPr="00815132" w:rsidRDefault="00B978E0" w:rsidP="00B978E0">
      <w:pPr>
        <w:pStyle w:val="ListParagraph"/>
        <w:numPr>
          <w:ilvl w:val="0"/>
          <w:numId w:val="3"/>
        </w:numPr>
        <w:autoSpaceDE w:val="0"/>
        <w:autoSpaceDN w:val="0"/>
        <w:adjustRightInd w:val="0"/>
        <w:snapToGrid w:val="0"/>
        <w:spacing w:after="120"/>
        <w:ind w:leftChars="0"/>
        <w:contextualSpacing/>
        <w:jc w:val="both"/>
        <w:rPr>
          <w:i/>
          <w:lang w:eastAsia="zh-CN"/>
        </w:rPr>
      </w:pPr>
      <w:r w:rsidRPr="00815132">
        <w:rPr>
          <w:i/>
        </w:rPr>
        <w:t xml:space="preserve">A UE is not expected to monitor a first decoding candidate with DCI format 0_1/1_1  and a second candidate with DCI format 0_2/1_2, where the two decoding candidates are mapped to the same resource and the DCI formats 0_1/1_1 and 0_2/1_2 have the same size.  </w:t>
      </w:r>
    </w:p>
    <w:p w14:paraId="6DEAEF83" w14:textId="77777777" w:rsidR="00B978E0" w:rsidRDefault="00B978E0" w:rsidP="00B978E0">
      <w:pPr>
        <w:jc w:val="both"/>
        <w:rPr>
          <w:rFonts w:eastAsia="Batang"/>
          <w:iCs/>
          <w:color w:val="000000"/>
          <w:kern w:val="2"/>
          <w:sz w:val="20"/>
          <w:szCs w:val="20"/>
          <w:lang w:val="en-GB"/>
        </w:rPr>
      </w:pPr>
    </w:p>
    <w:p w14:paraId="68F3571E" w14:textId="77777777" w:rsidR="00B978E0" w:rsidRDefault="00B978E0" w:rsidP="00B978E0">
      <w:pPr>
        <w:jc w:val="both"/>
        <w:rPr>
          <w:rFonts w:eastAsia="Batang"/>
          <w:iCs/>
          <w:color w:val="000000"/>
          <w:kern w:val="2"/>
          <w:sz w:val="20"/>
          <w:szCs w:val="20"/>
          <w:lang w:val="en-GB"/>
        </w:rPr>
      </w:pPr>
      <w:r w:rsidRPr="00C66EB6">
        <w:rPr>
          <w:rFonts w:eastAsia="Batang"/>
          <w:b/>
          <w:bCs/>
          <w:iCs/>
          <w:color w:val="000000"/>
          <w:kern w:val="2"/>
          <w:sz w:val="20"/>
          <w:szCs w:val="20"/>
          <w:lang w:val="en-GB"/>
        </w:rPr>
        <w:t>Proposal 3</w:t>
      </w:r>
      <w:r>
        <w:rPr>
          <w:rFonts w:eastAsia="Batang"/>
          <w:iCs/>
          <w:color w:val="000000"/>
          <w:kern w:val="2"/>
          <w:sz w:val="20"/>
          <w:szCs w:val="20"/>
          <w:lang w:val="en-GB"/>
        </w:rPr>
        <w:t>:</w:t>
      </w:r>
    </w:p>
    <w:p w14:paraId="5A6214B4" w14:textId="77777777" w:rsidR="00B978E0" w:rsidRPr="00C66EB6" w:rsidRDefault="00B978E0" w:rsidP="00B978E0">
      <w:pPr>
        <w:jc w:val="both"/>
        <w:rPr>
          <w:rFonts w:eastAsia="Batang"/>
          <w:i/>
          <w:color w:val="000000"/>
          <w:kern w:val="2"/>
          <w:sz w:val="20"/>
          <w:szCs w:val="20"/>
          <w:lang w:val="en-GB"/>
        </w:rPr>
      </w:pPr>
      <w:r w:rsidRPr="00C66EB6">
        <w:rPr>
          <w:rFonts w:eastAsia="Batang"/>
          <w:i/>
          <w:color w:val="000000"/>
          <w:kern w:val="2"/>
          <w:sz w:val="20"/>
          <w:szCs w:val="20"/>
          <w:lang w:val="en-GB"/>
        </w:rPr>
        <w:t>For DCI size alignment with the introduction of the new DCI formats:</w:t>
      </w:r>
    </w:p>
    <w:p w14:paraId="7FC1326D" w14:textId="77777777" w:rsidR="00B978E0" w:rsidRPr="00C66EB6" w:rsidRDefault="00B978E0" w:rsidP="00B978E0">
      <w:pPr>
        <w:pStyle w:val="ListParagraph"/>
        <w:numPr>
          <w:ilvl w:val="1"/>
          <w:numId w:val="3"/>
        </w:numPr>
        <w:autoSpaceDE w:val="0"/>
        <w:autoSpaceDN w:val="0"/>
        <w:adjustRightInd w:val="0"/>
        <w:snapToGrid w:val="0"/>
        <w:spacing w:after="120"/>
        <w:ind w:leftChars="0"/>
        <w:contextualSpacing/>
        <w:jc w:val="both"/>
        <w:rPr>
          <w:i/>
        </w:rPr>
      </w:pPr>
      <w:r w:rsidRPr="00C66EB6">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31B87529" w14:textId="77777777" w:rsidR="00B978E0" w:rsidRPr="00815132" w:rsidRDefault="00B978E0" w:rsidP="00B978E0">
      <w:pPr>
        <w:pStyle w:val="ListParagraph"/>
        <w:numPr>
          <w:ilvl w:val="1"/>
          <w:numId w:val="3"/>
        </w:numPr>
        <w:autoSpaceDE w:val="0"/>
        <w:autoSpaceDN w:val="0"/>
        <w:adjustRightInd w:val="0"/>
        <w:snapToGrid w:val="0"/>
        <w:spacing w:after="120"/>
        <w:ind w:leftChars="0"/>
        <w:contextualSpacing/>
        <w:jc w:val="both"/>
        <w:rPr>
          <w:i/>
          <w:lang w:eastAsia="zh-CN"/>
        </w:rPr>
      </w:pPr>
      <w:r w:rsidRPr="00C66EB6">
        <w:rPr>
          <w:i/>
        </w:rPr>
        <w:t>A UE is not expected to monitor a first decoding candidate with DCI format 0_1/1_1  and a second candidate with DCI format 0_2/1_2, where the two decoding candidates are mapped to the same resource and the DCI formats 0_1/1_1 and 0_2/1_2 have the same size</w:t>
      </w:r>
      <w:r w:rsidRPr="00815132">
        <w:rPr>
          <w:i/>
        </w:rPr>
        <w:t xml:space="preserve">.  </w:t>
      </w:r>
    </w:p>
    <w:p w14:paraId="0C737F96" w14:textId="77777777" w:rsidR="00B978E0" w:rsidRDefault="00B978E0" w:rsidP="00B978E0">
      <w:pPr>
        <w:jc w:val="both"/>
        <w:rPr>
          <w:rFonts w:eastAsia="Batang"/>
          <w:iCs/>
          <w:color w:val="000000"/>
          <w:kern w:val="2"/>
          <w:sz w:val="20"/>
          <w:szCs w:val="20"/>
          <w:lang w:val="en-GB"/>
        </w:rPr>
      </w:pPr>
    </w:p>
    <w:p w14:paraId="45F2613A" w14:textId="77777777" w:rsidR="00B978E0" w:rsidRDefault="00B978E0" w:rsidP="00B978E0">
      <w:pPr>
        <w:jc w:val="both"/>
        <w:rPr>
          <w:rFonts w:eastAsia="Batang"/>
          <w:iCs/>
          <w:color w:val="000000"/>
          <w:kern w:val="2"/>
          <w:sz w:val="20"/>
          <w:szCs w:val="20"/>
          <w:lang w:val="en-GB"/>
        </w:rPr>
      </w:pPr>
      <w:r>
        <w:rPr>
          <w:rFonts w:eastAsia="Batang"/>
          <w:iCs/>
          <w:color w:val="000000"/>
          <w:kern w:val="2"/>
          <w:sz w:val="20"/>
          <w:szCs w:val="20"/>
          <w:lang w:val="en-GB"/>
        </w:rPr>
        <w:t>In offline discussions with companies, it also appears that different companies have different understandings concerning the DCI size alignment procedure in Rel-15:</w:t>
      </w:r>
    </w:p>
    <w:p w14:paraId="7E88CFB3" w14:textId="77777777" w:rsidR="00B978E0" w:rsidRDefault="00B978E0" w:rsidP="00B978E0">
      <w:pPr>
        <w:pStyle w:val="ListParagraph"/>
        <w:numPr>
          <w:ilvl w:val="0"/>
          <w:numId w:val="5"/>
        </w:numPr>
        <w:ind w:leftChars="0"/>
        <w:jc w:val="both"/>
        <w:rPr>
          <w:iCs/>
          <w:color w:val="000000"/>
          <w:kern w:val="2"/>
          <w:szCs w:val="20"/>
        </w:rPr>
      </w:pPr>
      <w:r>
        <w:rPr>
          <w:iCs/>
          <w:color w:val="000000"/>
          <w:kern w:val="2"/>
          <w:szCs w:val="20"/>
        </w:rPr>
        <w:t>Understanding 1: DCI size alignment is performed over all search spaces configured at a BWP and across all slots, then for a given DCI format at a given search space, the DCI size is the same across slots;</w:t>
      </w:r>
    </w:p>
    <w:p w14:paraId="6194F9DD" w14:textId="77777777" w:rsidR="00B978E0" w:rsidRDefault="00B978E0" w:rsidP="00B978E0">
      <w:pPr>
        <w:pStyle w:val="ListParagraph"/>
        <w:numPr>
          <w:ilvl w:val="0"/>
          <w:numId w:val="5"/>
        </w:numPr>
        <w:ind w:leftChars="0"/>
        <w:jc w:val="both"/>
        <w:rPr>
          <w:iCs/>
          <w:color w:val="000000"/>
          <w:kern w:val="2"/>
          <w:szCs w:val="20"/>
        </w:rPr>
      </w:pPr>
      <w:r>
        <w:rPr>
          <w:iCs/>
          <w:color w:val="000000"/>
          <w:kern w:val="2"/>
          <w:szCs w:val="20"/>
        </w:rPr>
        <w:t xml:space="preserve">Understanding 2: DCI size alignment is performed on a slot by slot </w:t>
      </w:r>
      <w:proofErr w:type="gramStart"/>
      <w:r>
        <w:rPr>
          <w:iCs/>
          <w:color w:val="000000"/>
          <w:kern w:val="2"/>
          <w:szCs w:val="20"/>
        </w:rPr>
        <w:t>basis  over</w:t>
      </w:r>
      <w:proofErr w:type="gramEnd"/>
      <w:r>
        <w:rPr>
          <w:iCs/>
          <w:color w:val="000000"/>
          <w:kern w:val="2"/>
          <w:szCs w:val="20"/>
        </w:rPr>
        <w:t xml:space="preserve"> search spaces present in each slot, then for a given DCI format at a given search space, the DCI size may vary across slots.</w:t>
      </w:r>
    </w:p>
    <w:p w14:paraId="2B428C98" w14:textId="77777777" w:rsidR="00B978E0" w:rsidRPr="001B5BDF" w:rsidRDefault="00B978E0" w:rsidP="00B978E0">
      <w:pPr>
        <w:jc w:val="both"/>
        <w:rPr>
          <w:rFonts w:eastAsia="Batang"/>
          <w:color w:val="000000"/>
          <w:kern w:val="2"/>
          <w:sz w:val="20"/>
          <w:szCs w:val="20"/>
        </w:rPr>
      </w:pPr>
    </w:p>
    <w:p w14:paraId="33187FFB" w14:textId="77777777" w:rsidR="00B978E0" w:rsidRPr="001B5BDF" w:rsidRDefault="00B978E0" w:rsidP="00B978E0">
      <w:pPr>
        <w:jc w:val="both"/>
        <w:rPr>
          <w:rFonts w:eastAsia="Batang"/>
          <w:color w:val="000000"/>
          <w:kern w:val="2"/>
          <w:sz w:val="20"/>
          <w:szCs w:val="20"/>
        </w:rPr>
      </w:pPr>
      <w:r w:rsidRPr="001B5BDF">
        <w:rPr>
          <w:rFonts w:eastAsia="Batang"/>
          <w:color w:val="000000"/>
          <w:kern w:val="2"/>
          <w:sz w:val="20"/>
          <w:szCs w:val="20"/>
        </w:rPr>
        <w:t>We have checked the discussion history on DCI size alignment in Rel-15</w:t>
      </w:r>
      <w:r>
        <w:rPr>
          <w:rFonts w:eastAsia="Batang"/>
          <w:color w:val="000000"/>
          <w:kern w:val="2"/>
          <w:sz w:val="20"/>
          <w:szCs w:val="20"/>
        </w:rPr>
        <w:t>:</w:t>
      </w:r>
    </w:p>
    <w:p w14:paraId="4DF29514" w14:textId="77777777" w:rsidR="00B978E0" w:rsidRPr="001B5BDF" w:rsidRDefault="00B978E0" w:rsidP="00B978E0">
      <w:pPr>
        <w:jc w:val="both"/>
        <w:rPr>
          <w:rFonts w:eastAsia="Batang"/>
          <w:color w:val="000000"/>
          <w:kern w:val="2"/>
          <w:sz w:val="20"/>
          <w:szCs w:val="20"/>
        </w:rPr>
      </w:pPr>
    </w:p>
    <w:p w14:paraId="6E4DF262" w14:textId="77777777" w:rsidR="00B978E0" w:rsidRPr="001B5BDF" w:rsidRDefault="00B978E0" w:rsidP="00B978E0">
      <w:pPr>
        <w:jc w:val="both"/>
        <w:rPr>
          <w:rFonts w:eastAsia="Batang"/>
          <w:color w:val="000000"/>
          <w:kern w:val="2"/>
          <w:sz w:val="20"/>
          <w:szCs w:val="20"/>
        </w:rPr>
      </w:pPr>
      <w:r w:rsidRPr="001B5BDF">
        <w:rPr>
          <w:rFonts w:eastAsia="Batang"/>
          <w:color w:val="000000"/>
          <w:kern w:val="2"/>
          <w:sz w:val="20"/>
          <w:szCs w:val="20"/>
        </w:rPr>
        <w:t>At RAN1 NR Ad Hoc meeting in Jan. 2018</w:t>
      </w:r>
      <w:r>
        <w:rPr>
          <w:rFonts w:eastAsia="Batang"/>
          <w:color w:val="000000"/>
          <w:kern w:val="2"/>
          <w:sz w:val="20"/>
          <w:szCs w:val="20"/>
        </w:rPr>
        <w:t>, the following working assumptions were reached:</w:t>
      </w:r>
    </w:p>
    <w:p w14:paraId="3F589CCD" w14:textId="77777777" w:rsidR="00B978E0" w:rsidRPr="001B5BDF" w:rsidRDefault="00B978E0" w:rsidP="00B978E0">
      <w:pPr>
        <w:jc w:val="both"/>
        <w:rPr>
          <w:rFonts w:eastAsia="Batang"/>
          <w:color w:val="000000"/>
          <w:kern w:val="2"/>
          <w:sz w:val="20"/>
          <w:szCs w:val="20"/>
        </w:rPr>
      </w:pPr>
    </w:p>
    <w:p w14:paraId="45844069" w14:textId="77777777" w:rsidR="00B978E0" w:rsidRPr="001B5BDF" w:rsidRDefault="00B978E0" w:rsidP="00B978E0">
      <w:pPr>
        <w:rPr>
          <w:sz w:val="20"/>
          <w:szCs w:val="20"/>
        </w:rPr>
      </w:pPr>
      <w:r w:rsidRPr="001B5BDF">
        <w:rPr>
          <w:sz w:val="20"/>
          <w:szCs w:val="20"/>
          <w:highlight w:val="green"/>
          <w:lang w:eastAsia="x-none"/>
        </w:rPr>
        <w:t>Agreements</w:t>
      </w:r>
      <w:r w:rsidRPr="001B5BDF">
        <w:rPr>
          <w:sz w:val="20"/>
          <w:szCs w:val="20"/>
          <w:lang w:eastAsia="x-none"/>
        </w:rPr>
        <w:t xml:space="preserve">: </w:t>
      </w:r>
      <w:r w:rsidRPr="001B5BDF">
        <w:rPr>
          <w:sz w:val="20"/>
          <w:szCs w:val="20"/>
        </w:rPr>
        <w:t>For one carrier:</w:t>
      </w:r>
    </w:p>
    <w:p w14:paraId="7DA7D11C" w14:textId="77777777" w:rsidR="00B978E0" w:rsidRPr="001B5BDF" w:rsidRDefault="00B978E0" w:rsidP="00B978E0">
      <w:pPr>
        <w:pStyle w:val="ListParagraph"/>
        <w:numPr>
          <w:ilvl w:val="0"/>
          <w:numId w:val="6"/>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w:t>
      </w:r>
      <w:r w:rsidRPr="001B5BDF">
        <w:rPr>
          <w:rFonts w:ascii="Times New Roman" w:hAnsi="Times New Roman"/>
          <w:szCs w:val="20"/>
          <w:highlight w:val="darkYellow"/>
        </w:rPr>
        <w:t>working assumption</w:t>
      </w:r>
      <w:r w:rsidRPr="001B5BDF">
        <w:rPr>
          <w:rFonts w:ascii="Times New Roman" w:hAnsi="Times New Roman"/>
          <w:szCs w:val="20"/>
        </w:rPr>
        <w:t>) Payload sizes for 2-2 and 2-3 are padded (if needed) to match the size of formats 0-0/1-0 as defined by the initial BWP</w:t>
      </w:r>
    </w:p>
    <w:p w14:paraId="2A0E1EA0" w14:textId="77777777" w:rsidR="00B978E0" w:rsidRPr="001B5BDF" w:rsidRDefault="00B978E0" w:rsidP="00B978E0">
      <w:pPr>
        <w:pStyle w:val="ListParagraph"/>
        <w:numPr>
          <w:ilvl w:val="0"/>
          <w:numId w:val="6"/>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w:t>
      </w:r>
      <w:r w:rsidRPr="001B5BDF">
        <w:rPr>
          <w:rFonts w:ascii="Times New Roman" w:hAnsi="Times New Roman"/>
          <w:szCs w:val="20"/>
          <w:highlight w:val="darkYellow"/>
        </w:rPr>
        <w:t>working assumption</w:t>
      </w:r>
      <w:r w:rsidRPr="001B5BDF">
        <w:rPr>
          <w:rFonts w:ascii="Times New Roman" w:hAnsi="Times New Roman"/>
          <w:szCs w:val="20"/>
        </w:rPr>
        <w:t>) At most 4 different DCI sizes are monitored by the UE per slot</w:t>
      </w:r>
    </w:p>
    <w:p w14:paraId="7AB9B8E9" w14:textId="77777777" w:rsidR="00B978E0" w:rsidRPr="001B5BDF" w:rsidRDefault="00B978E0" w:rsidP="00B978E0">
      <w:pPr>
        <w:pStyle w:val="ListParagraph"/>
        <w:numPr>
          <w:ilvl w:val="1"/>
          <w:numId w:val="6"/>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At most 3 different DCI sizes are monitored per C-RNTI per slot</w:t>
      </w:r>
    </w:p>
    <w:p w14:paraId="41F7CC37" w14:textId="77777777" w:rsidR="00B978E0" w:rsidRPr="001B5BDF" w:rsidRDefault="00B978E0" w:rsidP="00B978E0">
      <w:pPr>
        <w:pStyle w:val="ListParagraph"/>
        <w:numPr>
          <w:ilvl w:val="0"/>
          <w:numId w:val="6"/>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Payload size for formats 0-1 and 1-1 may differ</w:t>
      </w:r>
    </w:p>
    <w:p w14:paraId="5A622056" w14:textId="77777777" w:rsidR="00B978E0" w:rsidRPr="001B5BDF" w:rsidRDefault="00B978E0" w:rsidP="00B978E0">
      <w:pPr>
        <w:rPr>
          <w:sz w:val="20"/>
          <w:szCs w:val="20"/>
          <w:highlight w:val="darkYellow"/>
          <w:lang w:eastAsia="x-none"/>
        </w:rPr>
      </w:pPr>
    </w:p>
    <w:p w14:paraId="017F7297" w14:textId="77777777" w:rsidR="00B978E0" w:rsidRPr="001B5BDF" w:rsidRDefault="00B978E0" w:rsidP="00B978E0">
      <w:pPr>
        <w:rPr>
          <w:sz w:val="20"/>
          <w:szCs w:val="20"/>
          <w:lang w:eastAsia="x-none"/>
        </w:rPr>
      </w:pPr>
      <w:r w:rsidRPr="001B5BDF">
        <w:rPr>
          <w:sz w:val="20"/>
          <w:szCs w:val="20"/>
          <w:highlight w:val="darkYellow"/>
          <w:lang w:eastAsia="x-none"/>
        </w:rPr>
        <w:t>Working assumption</w:t>
      </w:r>
      <w:r w:rsidRPr="001B5BDF">
        <w:rPr>
          <w:sz w:val="20"/>
          <w:szCs w:val="20"/>
          <w:lang w:eastAsia="x-none"/>
        </w:rPr>
        <w:t>:</w:t>
      </w:r>
    </w:p>
    <w:p w14:paraId="115BBB30" w14:textId="77777777" w:rsidR="00B978E0" w:rsidRPr="001B5BDF" w:rsidRDefault="00B978E0" w:rsidP="00B978E0">
      <w:pPr>
        <w:pStyle w:val="ListParagraph"/>
        <w:numPr>
          <w:ilvl w:val="0"/>
          <w:numId w:val="7"/>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The number of bits in the resource allocation field for format 0-0 and 1-0 depends on search space:</w:t>
      </w:r>
    </w:p>
    <w:p w14:paraId="0728D9FD" w14:textId="77777777" w:rsidR="00B978E0" w:rsidRPr="001B5BDF" w:rsidRDefault="00B978E0" w:rsidP="00B978E0">
      <w:pPr>
        <w:pStyle w:val="ListParagraph"/>
        <w:numPr>
          <w:ilvl w:val="1"/>
          <w:numId w:val="7"/>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In CSS(s) in CORESET 0, use initial DL BWP for DCI size determination and RB numbering</w:t>
      </w:r>
    </w:p>
    <w:p w14:paraId="453F6AB5" w14:textId="77777777" w:rsidR="00B978E0" w:rsidRPr="001B5BDF" w:rsidRDefault="00B978E0" w:rsidP="00B978E0">
      <w:pPr>
        <w:pStyle w:val="ListParagraph"/>
        <w:numPr>
          <w:ilvl w:val="2"/>
          <w:numId w:val="7"/>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FFS If a UE monitors 0-0/1-0 in CSS in CORESET 0 in a slot, it does not monitor formats 0-0 or 1-0 (or 2-x family in case they have a size aligned with 0-0/1-0) in any other search space</w:t>
      </w:r>
    </w:p>
    <w:p w14:paraId="2CED6EE5" w14:textId="77777777" w:rsidR="00B978E0" w:rsidRPr="001B5BDF" w:rsidRDefault="00B978E0" w:rsidP="00B978E0">
      <w:pPr>
        <w:pStyle w:val="ListParagraph"/>
        <w:numPr>
          <w:ilvl w:val="1"/>
          <w:numId w:val="7"/>
        </w:numPr>
        <w:overflowPunct w:val="0"/>
        <w:autoSpaceDE w:val="0"/>
        <w:autoSpaceDN w:val="0"/>
        <w:adjustRightInd w:val="0"/>
        <w:ind w:leftChars="0"/>
        <w:contextualSpacing/>
        <w:textAlignment w:val="baseline"/>
        <w:rPr>
          <w:rFonts w:ascii="Times New Roman" w:hAnsi="Times New Roman"/>
          <w:szCs w:val="20"/>
        </w:rPr>
      </w:pPr>
      <w:r w:rsidRPr="001B5BDF">
        <w:rPr>
          <w:rFonts w:ascii="Times New Roman" w:hAnsi="Times New Roman"/>
          <w:szCs w:val="20"/>
        </w:rPr>
        <w:t>Otherwise, use active BWP for DCI size determination and RB numbering</w:t>
      </w:r>
    </w:p>
    <w:p w14:paraId="2BC40DC7" w14:textId="77777777" w:rsidR="00B978E0" w:rsidRPr="001B5BDF" w:rsidRDefault="00B978E0" w:rsidP="00B978E0">
      <w:pPr>
        <w:jc w:val="both"/>
        <w:rPr>
          <w:rFonts w:eastAsia="Batang"/>
          <w:color w:val="000000"/>
          <w:kern w:val="2"/>
          <w:sz w:val="20"/>
          <w:szCs w:val="20"/>
        </w:rPr>
      </w:pPr>
    </w:p>
    <w:p w14:paraId="1B5142D1" w14:textId="77777777" w:rsidR="00B978E0" w:rsidRPr="001B5BDF" w:rsidRDefault="00B978E0" w:rsidP="00B978E0">
      <w:pPr>
        <w:jc w:val="both"/>
        <w:rPr>
          <w:rFonts w:eastAsia="Batang"/>
          <w:color w:val="000000"/>
          <w:kern w:val="2"/>
          <w:sz w:val="20"/>
          <w:szCs w:val="20"/>
        </w:rPr>
      </w:pPr>
      <w:r w:rsidRPr="001B5BDF">
        <w:rPr>
          <w:rFonts w:eastAsia="Batang"/>
          <w:color w:val="000000"/>
          <w:kern w:val="2"/>
          <w:sz w:val="20"/>
          <w:szCs w:val="20"/>
        </w:rPr>
        <w:lastRenderedPageBreak/>
        <w:t>At RAN1 #92, the following were reached:</w:t>
      </w:r>
    </w:p>
    <w:p w14:paraId="177D1642" w14:textId="77777777" w:rsidR="00B978E0" w:rsidRPr="001B5BDF" w:rsidRDefault="00B978E0" w:rsidP="00B978E0">
      <w:pPr>
        <w:rPr>
          <w:sz w:val="20"/>
          <w:szCs w:val="20"/>
        </w:rPr>
      </w:pPr>
      <w:r w:rsidRPr="001B5BDF">
        <w:rPr>
          <w:sz w:val="20"/>
          <w:szCs w:val="20"/>
          <w:highlight w:val="green"/>
          <w:lang w:eastAsia="x-none"/>
        </w:rPr>
        <w:t>Agreement</w:t>
      </w:r>
      <w:r w:rsidRPr="001B5BDF">
        <w:rPr>
          <w:sz w:val="20"/>
          <w:szCs w:val="20"/>
          <w:lang w:eastAsia="x-none"/>
        </w:rPr>
        <w:t xml:space="preserve">: </w:t>
      </w:r>
      <w:r w:rsidRPr="001B5BDF">
        <w:rPr>
          <w:sz w:val="20"/>
          <w:szCs w:val="20"/>
        </w:rPr>
        <w:t xml:space="preserve">Above </w:t>
      </w:r>
      <w:r w:rsidRPr="001B5BDF">
        <w:rPr>
          <w:sz w:val="20"/>
          <w:szCs w:val="20"/>
          <w:highlight w:val="darkYellow"/>
        </w:rPr>
        <w:t>working assumption</w:t>
      </w:r>
      <w:r w:rsidRPr="001B5BDF">
        <w:rPr>
          <w:sz w:val="20"/>
          <w:szCs w:val="20"/>
        </w:rPr>
        <w:t xml:space="preserve"> is replaced by the following:</w:t>
      </w:r>
    </w:p>
    <w:p w14:paraId="34CB9CA5" w14:textId="77777777" w:rsidR="00B978E0" w:rsidRPr="001B5BDF" w:rsidRDefault="00B978E0" w:rsidP="00B978E0">
      <w:pPr>
        <w:pStyle w:val="BodyText"/>
        <w:numPr>
          <w:ilvl w:val="0"/>
          <w:numId w:val="8"/>
        </w:numPr>
        <w:spacing w:after="0"/>
        <w:ind w:hanging="357"/>
        <w:rPr>
          <w:rFonts w:ascii="Times New Roman" w:hAnsi="Times New Roman"/>
          <w:szCs w:val="20"/>
        </w:rPr>
      </w:pPr>
      <w:r w:rsidRPr="001B5BDF">
        <w:rPr>
          <w:rFonts w:ascii="Times New Roman" w:hAnsi="Times New Roman"/>
          <w:szCs w:val="20"/>
        </w:rPr>
        <w:t>When monitoring for DCI in a BWP, the size of DCI format 0-0/1-0 is given by</w:t>
      </w:r>
    </w:p>
    <w:p w14:paraId="02454867" w14:textId="77777777" w:rsidR="00B978E0" w:rsidRPr="001B5BDF" w:rsidRDefault="00B978E0" w:rsidP="00B978E0">
      <w:pPr>
        <w:pStyle w:val="BodyText"/>
        <w:numPr>
          <w:ilvl w:val="0"/>
          <w:numId w:val="8"/>
        </w:numPr>
        <w:spacing w:after="0"/>
        <w:ind w:left="1080" w:hanging="357"/>
        <w:rPr>
          <w:rFonts w:ascii="Times New Roman" w:hAnsi="Times New Roman"/>
          <w:szCs w:val="20"/>
        </w:rPr>
      </w:pPr>
      <w:r w:rsidRPr="001B5BDF">
        <w:rPr>
          <w:rFonts w:ascii="Times New Roman" w:hAnsi="Times New Roman"/>
          <w:szCs w:val="20"/>
        </w:rPr>
        <w:t>For format 0-0/1-0 (regardless of RNTI) in CSS, the size is given by the initial DL BWP</w:t>
      </w:r>
    </w:p>
    <w:p w14:paraId="36F73E75" w14:textId="77777777" w:rsidR="00B978E0" w:rsidRPr="001B5BDF" w:rsidRDefault="00B978E0" w:rsidP="00B978E0">
      <w:pPr>
        <w:pStyle w:val="BodyText"/>
        <w:numPr>
          <w:ilvl w:val="0"/>
          <w:numId w:val="8"/>
        </w:numPr>
        <w:spacing w:after="0"/>
        <w:ind w:left="1080" w:hanging="357"/>
        <w:rPr>
          <w:rFonts w:ascii="Times New Roman" w:hAnsi="Times New Roman"/>
          <w:szCs w:val="20"/>
        </w:rPr>
      </w:pPr>
      <w:r w:rsidRPr="001B5BDF">
        <w:rPr>
          <w:rFonts w:ascii="Times New Roman" w:hAnsi="Times New Roman"/>
          <w:szCs w:val="20"/>
        </w:rPr>
        <w:t xml:space="preserve">For format 0-0/1-0 in USS, the size is given by the active BWP as long as the DCI size budget is fulfilled </w:t>
      </w:r>
    </w:p>
    <w:p w14:paraId="4623DA55" w14:textId="77777777" w:rsidR="00B978E0" w:rsidRPr="001B5BDF" w:rsidRDefault="00B978E0" w:rsidP="00B978E0">
      <w:pPr>
        <w:pStyle w:val="BodyText"/>
        <w:numPr>
          <w:ilvl w:val="1"/>
          <w:numId w:val="8"/>
        </w:numPr>
        <w:spacing w:after="0"/>
        <w:ind w:left="1800" w:hanging="357"/>
        <w:rPr>
          <w:rFonts w:ascii="Times New Roman" w:hAnsi="Times New Roman"/>
          <w:szCs w:val="20"/>
        </w:rPr>
      </w:pPr>
      <w:r w:rsidRPr="001B5BDF">
        <w:rPr>
          <w:rFonts w:ascii="Times New Roman" w:hAnsi="Times New Roman"/>
          <w:szCs w:val="20"/>
        </w:rPr>
        <w:t>FFS: Otherwise, for format 0-0/1-0, the size is given by the initial DL BWP</w:t>
      </w:r>
    </w:p>
    <w:p w14:paraId="687BD8D3" w14:textId="77777777" w:rsidR="00B978E0" w:rsidRPr="001B5BDF" w:rsidRDefault="00B978E0" w:rsidP="00B978E0">
      <w:pPr>
        <w:pStyle w:val="BodyText"/>
        <w:numPr>
          <w:ilvl w:val="0"/>
          <w:numId w:val="8"/>
        </w:numPr>
        <w:spacing w:after="0"/>
        <w:ind w:left="1080" w:hanging="357"/>
        <w:rPr>
          <w:rFonts w:ascii="Times New Roman" w:hAnsi="Times New Roman"/>
          <w:szCs w:val="20"/>
        </w:rPr>
      </w:pPr>
      <w:r w:rsidRPr="001B5BDF">
        <w:rPr>
          <w:rFonts w:ascii="Times New Roman" w:hAnsi="Times New Roman"/>
          <w:szCs w:val="20"/>
        </w:rPr>
        <w:t>FFS: how to meet the C-RNTI size and DCI size budget per slot</w:t>
      </w:r>
    </w:p>
    <w:p w14:paraId="723A10B5" w14:textId="77777777" w:rsidR="00B978E0" w:rsidRPr="001B5BDF" w:rsidRDefault="00B978E0" w:rsidP="00B978E0">
      <w:pPr>
        <w:pStyle w:val="BodyText"/>
        <w:numPr>
          <w:ilvl w:val="1"/>
          <w:numId w:val="8"/>
        </w:numPr>
        <w:spacing w:after="0"/>
        <w:ind w:left="1800" w:hanging="357"/>
        <w:rPr>
          <w:rFonts w:ascii="Times New Roman" w:hAnsi="Times New Roman"/>
          <w:szCs w:val="20"/>
        </w:rPr>
      </w:pPr>
      <w:r w:rsidRPr="001B5BDF">
        <w:rPr>
          <w:rFonts w:ascii="Times New Roman" w:hAnsi="Times New Roman"/>
          <w:szCs w:val="20"/>
        </w:rPr>
        <w:t>align 0-1 and 1-1</w:t>
      </w:r>
    </w:p>
    <w:p w14:paraId="389FEBD6" w14:textId="77777777" w:rsidR="00B978E0" w:rsidRPr="001B5BDF" w:rsidRDefault="00B978E0" w:rsidP="00B978E0">
      <w:pPr>
        <w:pStyle w:val="BodyText"/>
        <w:numPr>
          <w:ilvl w:val="1"/>
          <w:numId w:val="8"/>
        </w:numPr>
        <w:spacing w:after="0"/>
        <w:ind w:left="1800" w:hanging="357"/>
        <w:rPr>
          <w:rFonts w:ascii="Times New Roman" w:hAnsi="Times New Roman"/>
          <w:szCs w:val="20"/>
        </w:rPr>
      </w:pPr>
      <w:r w:rsidRPr="001B5BDF">
        <w:rPr>
          <w:rFonts w:ascii="Times New Roman" w:hAnsi="Times New Roman"/>
          <w:szCs w:val="20"/>
        </w:rPr>
        <w:t>configure active BWP such that the DCI size is the same as of the initial BWP</w:t>
      </w:r>
    </w:p>
    <w:p w14:paraId="6A2742C9" w14:textId="77777777" w:rsidR="00B978E0" w:rsidRPr="001B5BDF" w:rsidRDefault="00B978E0" w:rsidP="00B978E0">
      <w:pPr>
        <w:pStyle w:val="BodyText"/>
        <w:numPr>
          <w:ilvl w:val="1"/>
          <w:numId w:val="8"/>
        </w:numPr>
        <w:spacing w:after="0"/>
        <w:ind w:left="1800" w:hanging="357"/>
        <w:rPr>
          <w:rFonts w:ascii="Times New Roman" w:hAnsi="Times New Roman"/>
          <w:szCs w:val="20"/>
        </w:rPr>
      </w:pPr>
      <w:r w:rsidRPr="001B5BDF">
        <w:rPr>
          <w:rFonts w:ascii="Times New Roman" w:hAnsi="Times New Roman"/>
          <w:szCs w:val="20"/>
        </w:rPr>
        <w:t>do not configure 0-1 and 1-1</w:t>
      </w:r>
    </w:p>
    <w:p w14:paraId="7F3A153F" w14:textId="77777777" w:rsidR="00B978E0" w:rsidRPr="001B5BDF" w:rsidRDefault="00B978E0" w:rsidP="00B978E0">
      <w:pPr>
        <w:pStyle w:val="BodyText"/>
        <w:numPr>
          <w:ilvl w:val="1"/>
          <w:numId w:val="8"/>
        </w:numPr>
        <w:spacing w:after="0"/>
        <w:ind w:left="1800" w:hanging="357"/>
        <w:rPr>
          <w:rFonts w:ascii="Times New Roman" w:hAnsi="Times New Roman"/>
          <w:szCs w:val="20"/>
        </w:rPr>
      </w:pPr>
      <w:r w:rsidRPr="001B5BDF">
        <w:rPr>
          <w:rFonts w:ascii="Times New Roman" w:hAnsi="Times New Roman"/>
          <w:szCs w:val="20"/>
        </w:rPr>
        <w:t>do not configure 0-0/1-0 in USS</w:t>
      </w:r>
    </w:p>
    <w:p w14:paraId="724E183B" w14:textId="77777777" w:rsidR="00B978E0" w:rsidRPr="001B5BDF" w:rsidRDefault="00B978E0" w:rsidP="00B978E0">
      <w:pPr>
        <w:pStyle w:val="BodyText"/>
        <w:numPr>
          <w:ilvl w:val="1"/>
          <w:numId w:val="8"/>
        </w:numPr>
        <w:spacing w:after="0"/>
        <w:ind w:left="1800" w:hanging="357"/>
        <w:rPr>
          <w:rFonts w:ascii="Times New Roman" w:hAnsi="Times New Roman"/>
          <w:szCs w:val="20"/>
        </w:rPr>
      </w:pPr>
      <w:r w:rsidRPr="001B5BDF">
        <w:rPr>
          <w:rFonts w:ascii="Times New Roman" w:hAnsi="Times New Roman"/>
          <w:szCs w:val="20"/>
        </w:rPr>
        <w:t>other are not precluded</w:t>
      </w:r>
    </w:p>
    <w:p w14:paraId="39048380" w14:textId="77777777" w:rsidR="00B978E0" w:rsidRPr="001B5BDF" w:rsidRDefault="00B978E0" w:rsidP="00B978E0">
      <w:pPr>
        <w:pStyle w:val="BodyText"/>
        <w:numPr>
          <w:ilvl w:val="0"/>
          <w:numId w:val="8"/>
        </w:numPr>
        <w:spacing w:after="0"/>
        <w:ind w:left="1080" w:hanging="357"/>
        <w:rPr>
          <w:rFonts w:ascii="Times New Roman" w:hAnsi="Times New Roman"/>
          <w:szCs w:val="20"/>
        </w:rPr>
      </w:pPr>
      <w:r w:rsidRPr="001B5BDF">
        <w:rPr>
          <w:rFonts w:ascii="Times New Roman" w:hAnsi="Times New Roman"/>
          <w:szCs w:val="20"/>
        </w:rPr>
        <w:t>FFS: for format 0-0/1-0, how to interpret the frequency-domain field in a DCI with a size defined from a BWP with a different size than the BWP it is applied to</w:t>
      </w:r>
    </w:p>
    <w:p w14:paraId="7D3586E9" w14:textId="77777777" w:rsidR="00B978E0" w:rsidRPr="001B5BDF" w:rsidRDefault="00B978E0" w:rsidP="00B978E0">
      <w:pPr>
        <w:jc w:val="both"/>
        <w:rPr>
          <w:rFonts w:eastAsia="Batang"/>
          <w:color w:val="000000"/>
          <w:kern w:val="2"/>
          <w:sz w:val="20"/>
          <w:szCs w:val="20"/>
        </w:rPr>
      </w:pPr>
    </w:p>
    <w:p w14:paraId="09858871" w14:textId="77777777" w:rsidR="00B978E0" w:rsidRPr="001B5BDF" w:rsidRDefault="00B978E0" w:rsidP="00B978E0">
      <w:pPr>
        <w:jc w:val="both"/>
        <w:rPr>
          <w:rFonts w:eastAsia="Batang"/>
          <w:color w:val="000000"/>
          <w:kern w:val="2"/>
          <w:sz w:val="20"/>
          <w:szCs w:val="20"/>
        </w:rPr>
      </w:pPr>
      <w:r w:rsidRPr="001B5BDF">
        <w:rPr>
          <w:rFonts w:eastAsia="Batang"/>
          <w:color w:val="000000"/>
          <w:kern w:val="2"/>
          <w:sz w:val="20"/>
          <w:szCs w:val="20"/>
        </w:rPr>
        <w:t>At RAN1 #92bis, the following were reached:</w:t>
      </w:r>
    </w:p>
    <w:p w14:paraId="62D00AD3" w14:textId="77777777" w:rsidR="00B978E0" w:rsidRPr="001B5BDF" w:rsidRDefault="00B978E0" w:rsidP="00B978E0">
      <w:pPr>
        <w:jc w:val="both"/>
        <w:rPr>
          <w:rFonts w:eastAsia="Batang"/>
          <w:color w:val="000000"/>
          <w:kern w:val="2"/>
          <w:sz w:val="20"/>
          <w:szCs w:val="20"/>
        </w:rPr>
      </w:pPr>
    </w:p>
    <w:p w14:paraId="623C2E32" w14:textId="77777777" w:rsidR="00B978E0" w:rsidRPr="001B5BDF" w:rsidRDefault="00B978E0" w:rsidP="00B978E0">
      <w:pPr>
        <w:ind w:left="720" w:hanging="720"/>
        <w:rPr>
          <w:sz w:val="20"/>
          <w:szCs w:val="20"/>
          <w:highlight w:val="green"/>
          <w:lang w:eastAsia="x-none"/>
        </w:rPr>
      </w:pPr>
      <w:r w:rsidRPr="001B5BDF">
        <w:rPr>
          <w:sz w:val="20"/>
          <w:szCs w:val="20"/>
          <w:highlight w:val="green"/>
          <w:lang w:eastAsia="x-none"/>
        </w:rPr>
        <w:t>Agreement:</w:t>
      </w:r>
    </w:p>
    <w:p w14:paraId="39C5236F" w14:textId="77777777" w:rsidR="00B978E0" w:rsidRPr="001B5BDF" w:rsidRDefault="00B978E0" w:rsidP="00B978E0">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1B5BDF">
        <w:rPr>
          <w:rFonts w:ascii="Times New Roman" w:hAnsi="Times New Roman"/>
          <w:szCs w:val="20"/>
        </w:rPr>
        <w:t>Confirm the following working assumption:</w:t>
      </w:r>
    </w:p>
    <w:p w14:paraId="5AED290C" w14:textId="77777777" w:rsidR="00B978E0" w:rsidRPr="001B5BDF" w:rsidRDefault="00B978E0" w:rsidP="00B978E0">
      <w:pPr>
        <w:pStyle w:val="ListParagraph"/>
        <w:numPr>
          <w:ilvl w:val="1"/>
          <w:numId w:val="9"/>
        </w:numPr>
        <w:overflowPunct w:val="0"/>
        <w:autoSpaceDE w:val="0"/>
        <w:autoSpaceDN w:val="0"/>
        <w:adjustRightInd w:val="0"/>
        <w:spacing w:after="120"/>
        <w:ind w:leftChars="0"/>
        <w:contextualSpacing/>
        <w:jc w:val="both"/>
        <w:textAlignment w:val="baseline"/>
        <w:rPr>
          <w:rFonts w:ascii="Times New Roman" w:hAnsi="Times New Roman"/>
          <w:szCs w:val="20"/>
        </w:rPr>
      </w:pPr>
      <w:r w:rsidRPr="001B5BDF">
        <w:rPr>
          <w:rFonts w:ascii="Times New Roman" w:hAnsi="Times New Roman"/>
          <w:szCs w:val="20"/>
        </w:rPr>
        <w:t>(</w:t>
      </w:r>
      <w:r w:rsidRPr="001B5BDF">
        <w:rPr>
          <w:rFonts w:ascii="Times New Roman" w:hAnsi="Times New Roman"/>
          <w:szCs w:val="20"/>
          <w:highlight w:val="darkYellow"/>
        </w:rPr>
        <w:t>working assumption</w:t>
      </w:r>
      <w:r w:rsidRPr="001B5BDF">
        <w:rPr>
          <w:rFonts w:ascii="Times New Roman" w:hAnsi="Times New Roman"/>
          <w:szCs w:val="20"/>
        </w:rPr>
        <w:t>) At most 4 different DCI sizes are monitored by the UE per slot</w:t>
      </w:r>
    </w:p>
    <w:p w14:paraId="574C9563" w14:textId="77777777" w:rsidR="00B978E0" w:rsidRPr="001B5BDF" w:rsidRDefault="00B978E0" w:rsidP="00B978E0">
      <w:pPr>
        <w:pStyle w:val="ListParagraph"/>
        <w:numPr>
          <w:ilvl w:val="2"/>
          <w:numId w:val="9"/>
        </w:numPr>
        <w:overflowPunct w:val="0"/>
        <w:autoSpaceDE w:val="0"/>
        <w:autoSpaceDN w:val="0"/>
        <w:adjustRightInd w:val="0"/>
        <w:spacing w:after="120"/>
        <w:ind w:leftChars="0"/>
        <w:contextualSpacing/>
        <w:jc w:val="both"/>
        <w:textAlignment w:val="baseline"/>
        <w:rPr>
          <w:rFonts w:ascii="Times New Roman" w:hAnsi="Times New Roman"/>
          <w:szCs w:val="20"/>
        </w:rPr>
      </w:pPr>
      <w:r w:rsidRPr="001B5BDF">
        <w:rPr>
          <w:rFonts w:ascii="Times New Roman" w:hAnsi="Times New Roman"/>
          <w:szCs w:val="20"/>
        </w:rPr>
        <w:t>At most 3 different DCI sizes are monitored per C-RNTI per slot</w:t>
      </w:r>
    </w:p>
    <w:p w14:paraId="300BE39D" w14:textId="77777777" w:rsidR="00B978E0" w:rsidRPr="001B5BDF" w:rsidRDefault="00B978E0" w:rsidP="00B978E0">
      <w:pPr>
        <w:rPr>
          <w:sz w:val="20"/>
          <w:szCs w:val="20"/>
        </w:rPr>
      </w:pPr>
      <w:r w:rsidRPr="001B5BDF">
        <w:rPr>
          <w:sz w:val="20"/>
          <w:szCs w:val="20"/>
          <w:u w:val="single"/>
        </w:rPr>
        <w:t>Conclusion</w:t>
      </w:r>
      <w:r w:rsidRPr="001B5BDF">
        <w:rPr>
          <w:sz w:val="20"/>
          <w:szCs w:val="20"/>
        </w:rPr>
        <w:t>:</w:t>
      </w:r>
    </w:p>
    <w:p w14:paraId="5327C00C" w14:textId="77777777" w:rsidR="00B978E0" w:rsidRPr="001B5BDF" w:rsidRDefault="00B978E0" w:rsidP="00B978E0">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1B5BDF">
        <w:rPr>
          <w:rFonts w:ascii="Times New Roman" w:hAnsi="Times New Roman"/>
          <w:szCs w:val="20"/>
        </w:rPr>
        <w:t>It is understood that DCI sizes to monitor do not vary dynamically from slot-to-slot (other than impact due to BWP switching) but are based on RRC configuration, CSS vs. USS, and/or active BWP.</w:t>
      </w:r>
    </w:p>
    <w:p w14:paraId="36FF672C" w14:textId="77777777" w:rsidR="00B978E0" w:rsidRPr="001B5BDF" w:rsidRDefault="00B978E0" w:rsidP="00B978E0">
      <w:pPr>
        <w:ind w:left="720"/>
        <w:rPr>
          <w:sz w:val="20"/>
          <w:szCs w:val="20"/>
        </w:rPr>
      </w:pPr>
    </w:p>
    <w:p w14:paraId="7F25E284" w14:textId="77777777" w:rsidR="00B978E0" w:rsidRPr="001B5BDF" w:rsidRDefault="00B978E0" w:rsidP="00B978E0">
      <w:pPr>
        <w:rPr>
          <w:sz w:val="20"/>
          <w:szCs w:val="20"/>
        </w:rPr>
      </w:pPr>
      <w:r w:rsidRPr="001B5BDF">
        <w:rPr>
          <w:sz w:val="20"/>
          <w:szCs w:val="20"/>
          <w:highlight w:val="green"/>
        </w:rPr>
        <w:t>Agreements</w:t>
      </w:r>
      <w:r w:rsidRPr="001B5BDF">
        <w:rPr>
          <w:sz w:val="20"/>
          <w:szCs w:val="20"/>
        </w:rPr>
        <w:t>:</w:t>
      </w:r>
    </w:p>
    <w:p w14:paraId="6B6FD27E" w14:textId="77777777" w:rsidR="00B978E0" w:rsidRPr="001B5BDF" w:rsidRDefault="00B978E0" w:rsidP="00B978E0">
      <w:pPr>
        <w:pStyle w:val="ListParagraph"/>
        <w:numPr>
          <w:ilvl w:val="0"/>
          <w:numId w:val="9"/>
        </w:numPr>
        <w:overflowPunct w:val="0"/>
        <w:autoSpaceDE w:val="0"/>
        <w:autoSpaceDN w:val="0"/>
        <w:adjustRightInd w:val="0"/>
        <w:spacing w:after="180"/>
        <w:ind w:leftChars="0"/>
        <w:contextualSpacing/>
        <w:textAlignment w:val="baseline"/>
        <w:rPr>
          <w:rFonts w:ascii="Times New Roman" w:hAnsi="Times New Roman"/>
          <w:szCs w:val="20"/>
        </w:rPr>
      </w:pPr>
      <w:r w:rsidRPr="001B5BDF">
        <w:rPr>
          <w:rFonts w:ascii="Times New Roman" w:hAnsi="Times New Roman"/>
          <w:szCs w:val="20"/>
        </w:rPr>
        <w:t>To confirm the following working assumption with update</w:t>
      </w:r>
    </w:p>
    <w:p w14:paraId="3BEB2562" w14:textId="77777777" w:rsidR="00B978E0" w:rsidRPr="001B5BDF" w:rsidRDefault="00B978E0" w:rsidP="00B978E0">
      <w:pPr>
        <w:pStyle w:val="ListParagraph"/>
        <w:spacing w:after="120"/>
        <w:ind w:left="1680"/>
        <w:jc w:val="both"/>
        <w:rPr>
          <w:rFonts w:ascii="Times New Roman" w:hAnsi="Times New Roman"/>
          <w:szCs w:val="20"/>
        </w:rPr>
      </w:pPr>
      <w:r w:rsidRPr="001B5BDF">
        <w:rPr>
          <w:rFonts w:ascii="Times New Roman" w:hAnsi="Times New Roman"/>
          <w:szCs w:val="20"/>
          <w:highlight w:val="darkYellow"/>
        </w:rPr>
        <w:t>Working assumption</w:t>
      </w:r>
      <w:r w:rsidRPr="001B5BDF">
        <w:rPr>
          <w:rFonts w:ascii="Times New Roman" w:hAnsi="Times New Roman"/>
          <w:szCs w:val="20"/>
        </w:rPr>
        <w:t>:</w:t>
      </w:r>
    </w:p>
    <w:p w14:paraId="4705F2F3" w14:textId="77777777" w:rsidR="00B978E0" w:rsidRPr="001B5BDF" w:rsidRDefault="00B978E0" w:rsidP="00B978E0">
      <w:pPr>
        <w:pStyle w:val="ListParagraph"/>
        <w:numPr>
          <w:ilvl w:val="1"/>
          <w:numId w:val="9"/>
        </w:numPr>
        <w:overflowPunct w:val="0"/>
        <w:autoSpaceDE w:val="0"/>
        <w:autoSpaceDN w:val="0"/>
        <w:adjustRightInd w:val="0"/>
        <w:spacing w:after="120"/>
        <w:ind w:leftChars="0"/>
        <w:contextualSpacing/>
        <w:jc w:val="both"/>
        <w:textAlignment w:val="baseline"/>
        <w:rPr>
          <w:rFonts w:ascii="Times New Roman" w:hAnsi="Times New Roman"/>
          <w:szCs w:val="20"/>
        </w:rPr>
      </w:pPr>
      <w:r w:rsidRPr="001B5BDF">
        <w:rPr>
          <w:rFonts w:ascii="Times New Roman" w:hAnsi="Times New Roman"/>
          <w:szCs w:val="20"/>
        </w:rPr>
        <w:t>When monitoring for DCI in a BWP, the size of DCI format 0-0/1-0 is given by</w:t>
      </w:r>
    </w:p>
    <w:p w14:paraId="4A461FA8" w14:textId="77777777" w:rsidR="00B978E0" w:rsidRPr="001B5BDF" w:rsidRDefault="00B978E0" w:rsidP="00B978E0">
      <w:pPr>
        <w:pStyle w:val="ListParagraph"/>
        <w:numPr>
          <w:ilvl w:val="2"/>
          <w:numId w:val="9"/>
        </w:numPr>
        <w:overflowPunct w:val="0"/>
        <w:autoSpaceDE w:val="0"/>
        <w:autoSpaceDN w:val="0"/>
        <w:adjustRightInd w:val="0"/>
        <w:spacing w:after="120"/>
        <w:ind w:leftChars="0"/>
        <w:contextualSpacing/>
        <w:jc w:val="both"/>
        <w:textAlignment w:val="baseline"/>
        <w:rPr>
          <w:rFonts w:ascii="Times New Roman" w:hAnsi="Times New Roman"/>
          <w:szCs w:val="20"/>
        </w:rPr>
      </w:pPr>
      <w:r w:rsidRPr="001B5BDF">
        <w:rPr>
          <w:rFonts w:ascii="Times New Roman" w:hAnsi="Times New Roman"/>
          <w:szCs w:val="20"/>
        </w:rPr>
        <w:t>For format 0-0/1-0 (regardless of RNTI) in CSS, the size is given by the initial DL BWP</w:t>
      </w:r>
    </w:p>
    <w:p w14:paraId="7F393F87" w14:textId="77777777" w:rsidR="00B978E0" w:rsidRPr="001B5BDF" w:rsidRDefault="00B978E0" w:rsidP="00B978E0">
      <w:pPr>
        <w:pStyle w:val="ListParagraph"/>
        <w:numPr>
          <w:ilvl w:val="2"/>
          <w:numId w:val="9"/>
        </w:numPr>
        <w:overflowPunct w:val="0"/>
        <w:autoSpaceDE w:val="0"/>
        <w:autoSpaceDN w:val="0"/>
        <w:adjustRightInd w:val="0"/>
        <w:spacing w:after="120"/>
        <w:ind w:leftChars="0"/>
        <w:contextualSpacing/>
        <w:jc w:val="both"/>
        <w:textAlignment w:val="baseline"/>
        <w:rPr>
          <w:rFonts w:ascii="Times New Roman" w:hAnsi="Times New Roman"/>
          <w:szCs w:val="20"/>
        </w:rPr>
      </w:pPr>
      <w:r w:rsidRPr="001B5BDF">
        <w:rPr>
          <w:rFonts w:ascii="Times New Roman" w:hAnsi="Times New Roman"/>
          <w:szCs w:val="20"/>
        </w:rPr>
        <w:t xml:space="preserve">For format 0-0/1-0 in USS, the size is given by the active BWP as long as the DCI size budget is fulfilled </w:t>
      </w:r>
    </w:p>
    <w:p w14:paraId="52471388" w14:textId="77777777" w:rsidR="00B978E0" w:rsidRPr="001B5BDF" w:rsidRDefault="00B978E0" w:rsidP="00B978E0">
      <w:pPr>
        <w:pStyle w:val="ListParagraph"/>
        <w:numPr>
          <w:ilvl w:val="3"/>
          <w:numId w:val="9"/>
        </w:numPr>
        <w:overflowPunct w:val="0"/>
        <w:autoSpaceDE w:val="0"/>
        <w:autoSpaceDN w:val="0"/>
        <w:adjustRightInd w:val="0"/>
        <w:spacing w:after="120"/>
        <w:ind w:leftChars="0"/>
        <w:contextualSpacing/>
        <w:jc w:val="both"/>
        <w:textAlignment w:val="baseline"/>
        <w:rPr>
          <w:rFonts w:ascii="Times New Roman" w:hAnsi="Times New Roman"/>
          <w:szCs w:val="20"/>
        </w:rPr>
      </w:pPr>
      <w:r w:rsidRPr="001B5BDF">
        <w:rPr>
          <w:rFonts w:ascii="Times New Roman" w:hAnsi="Times New Roman"/>
          <w:strike/>
          <w:color w:val="FF0000"/>
          <w:szCs w:val="20"/>
          <w:u w:val="single"/>
        </w:rPr>
        <w:t>FFS:</w:t>
      </w:r>
      <w:r w:rsidRPr="001B5BDF">
        <w:rPr>
          <w:rFonts w:ascii="Times New Roman" w:hAnsi="Times New Roman"/>
          <w:szCs w:val="20"/>
        </w:rPr>
        <w:t xml:space="preserve"> Otherwise, for format 0-0/1-0, the size is given by the initial DL BWP</w:t>
      </w:r>
    </w:p>
    <w:p w14:paraId="0BC51B0E" w14:textId="77777777" w:rsidR="00B978E0" w:rsidRPr="001B5BDF" w:rsidRDefault="00B978E0" w:rsidP="00B978E0">
      <w:pPr>
        <w:jc w:val="both"/>
        <w:rPr>
          <w:rFonts w:eastAsia="Batang"/>
          <w:color w:val="000000"/>
          <w:kern w:val="2"/>
          <w:sz w:val="20"/>
          <w:szCs w:val="20"/>
        </w:rPr>
      </w:pPr>
    </w:p>
    <w:p w14:paraId="23ABA8FA" w14:textId="77777777" w:rsidR="00B978E0" w:rsidRPr="001B5BDF" w:rsidRDefault="00B978E0" w:rsidP="00B978E0">
      <w:pPr>
        <w:jc w:val="both"/>
        <w:rPr>
          <w:rFonts w:eastAsia="Batang"/>
          <w:color w:val="000000"/>
          <w:kern w:val="2"/>
          <w:sz w:val="20"/>
          <w:szCs w:val="20"/>
        </w:rPr>
      </w:pPr>
      <w:r w:rsidRPr="001B5BDF">
        <w:rPr>
          <w:rFonts w:eastAsia="Batang"/>
          <w:color w:val="000000"/>
          <w:kern w:val="2"/>
          <w:sz w:val="20"/>
          <w:szCs w:val="20"/>
        </w:rPr>
        <w:t xml:space="preserve">From the discussion history, it can be seen while the early working assumptions might </w:t>
      </w:r>
      <w:r>
        <w:rPr>
          <w:rFonts w:eastAsia="Batang"/>
          <w:color w:val="000000"/>
          <w:kern w:val="2"/>
          <w:sz w:val="20"/>
          <w:szCs w:val="20"/>
        </w:rPr>
        <w:t xml:space="preserve">leave a room for different </w:t>
      </w:r>
      <w:r w:rsidRPr="001B5BDF">
        <w:rPr>
          <w:rFonts w:eastAsia="Batang"/>
          <w:color w:val="000000"/>
          <w:kern w:val="2"/>
          <w:sz w:val="20"/>
          <w:szCs w:val="20"/>
        </w:rPr>
        <w:t xml:space="preserve">readings on </w:t>
      </w:r>
      <w:r>
        <w:rPr>
          <w:rFonts w:eastAsia="Batang"/>
          <w:color w:val="000000"/>
          <w:kern w:val="2"/>
          <w:sz w:val="20"/>
          <w:szCs w:val="20"/>
        </w:rPr>
        <w:t>how to ensure</w:t>
      </w:r>
      <w:r w:rsidRPr="001B5BDF">
        <w:rPr>
          <w:rFonts w:eastAsia="Batang"/>
          <w:color w:val="000000"/>
          <w:kern w:val="2"/>
          <w:sz w:val="20"/>
          <w:szCs w:val="20"/>
        </w:rPr>
        <w:t xml:space="preserve"> at most 4 DCI sizes are monitored by a UE per slot:</w:t>
      </w:r>
    </w:p>
    <w:p w14:paraId="0B7E3DD7" w14:textId="77777777" w:rsidR="00B978E0" w:rsidRPr="001B5BDF" w:rsidRDefault="00B978E0" w:rsidP="00B978E0">
      <w:pPr>
        <w:pStyle w:val="ListParagraph"/>
        <w:numPr>
          <w:ilvl w:val="0"/>
          <w:numId w:val="10"/>
        </w:numPr>
        <w:ind w:leftChars="0"/>
        <w:jc w:val="both"/>
        <w:rPr>
          <w:rFonts w:ascii="Times New Roman" w:hAnsi="Times New Roman"/>
          <w:color w:val="000000"/>
          <w:kern w:val="2"/>
          <w:szCs w:val="20"/>
        </w:rPr>
      </w:pPr>
      <w:r w:rsidRPr="001B5BDF">
        <w:rPr>
          <w:rFonts w:ascii="Times New Roman" w:hAnsi="Times New Roman"/>
          <w:color w:val="000000"/>
          <w:kern w:val="2"/>
          <w:szCs w:val="20"/>
        </w:rPr>
        <w:t>DCI size alignment is per slot, the limit is checked and met on a slot by slot basis;</w:t>
      </w:r>
    </w:p>
    <w:p w14:paraId="05170B5E" w14:textId="77777777" w:rsidR="00B978E0" w:rsidRPr="001B5BDF" w:rsidRDefault="00B978E0" w:rsidP="00B978E0">
      <w:pPr>
        <w:pStyle w:val="ListParagraph"/>
        <w:numPr>
          <w:ilvl w:val="0"/>
          <w:numId w:val="10"/>
        </w:numPr>
        <w:ind w:leftChars="0"/>
        <w:jc w:val="both"/>
        <w:rPr>
          <w:rFonts w:ascii="Times New Roman" w:hAnsi="Times New Roman"/>
          <w:color w:val="000000"/>
          <w:kern w:val="2"/>
          <w:szCs w:val="20"/>
        </w:rPr>
      </w:pPr>
      <w:r w:rsidRPr="001B5BDF">
        <w:rPr>
          <w:rFonts w:ascii="Times New Roman" w:hAnsi="Times New Roman"/>
          <w:color w:val="000000"/>
          <w:kern w:val="2"/>
          <w:szCs w:val="20"/>
        </w:rPr>
        <w:t>DCI size alignment is per BWP, the limit is checked and met by examining all search spaces and across slots, and consequently there are at 4 DCI sizes per slot;</w:t>
      </w:r>
    </w:p>
    <w:p w14:paraId="601BD9B5" w14:textId="77777777" w:rsidR="00B978E0" w:rsidRPr="001B5BDF" w:rsidRDefault="00B978E0" w:rsidP="00B978E0">
      <w:pPr>
        <w:jc w:val="both"/>
        <w:rPr>
          <w:rFonts w:eastAsia="Batang"/>
          <w:color w:val="000000"/>
          <w:kern w:val="2"/>
          <w:sz w:val="20"/>
          <w:szCs w:val="20"/>
        </w:rPr>
      </w:pPr>
    </w:p>
    <w:p w14:paraId="277BD650" w14:textId="77777777" w:rsidR="00B978E0" w:rsidRPr="001B5BDF" w:rsidRDefault="00B978E0" w:rsidP="00B978E0">
      <w:pPr>
        <w:jc w:val="both"/>
        <w:rPr>
          <w:rFonts w:eastAsia="Batang"/>
          <w:color w:val="000000"/>
          <w:kern w:val="2"/>
          <w:sz w:val="20"/>
          <w:szCs w:val="20"/>
        </w:rPr>
      </w:pPr>
      <w:r w:rsidRPr="001B5BDF">
        <w:rPr>
          <w:rFonts w:eastAsia="Batang"/>
          <w:color w:val="000000"/>
          <w:kern w:val="2"/>
          <w:sz w:val="20"/>
          <w:szCs w:val="20"/>
        </w:rPr>
        <w:t>The conclusion from RAN1 #92bis indicates unambiguously that DCI size alignment is not performed on a slot-by-slot basis (otherwise DCI sizes to monitor can vary dynamically from slot to slot).  We conclude previous RAN1 decision</w:t>
      </w:r>
      <w:r>
        <w:rPr>
          <w:rFonts w:eastAsia="Batang"/>
          <w:color w:val="000000"/>
          <w:kern w:val="2"/>
          <w:sz w:val="20"/>
          <w:szCs w:val="20"/>
        </w:rPr>
        <w:t>s</w:t>
      </w:r>
      <w:r w:rsidRPr="001B5BDF">
        <w:rPr>
          <w:rFonts w:eastAsia="Batang"/>
          <w:color w:val="000000"/>
          <w:kern w:val="2"/>
          <w:sz w:val="20"/>
          <w:szCs w:val="20"/>
        </w:rPr>
        <w:t xml:space="preserve"> support the position that DCI size alignment is conducted for a BWP across slots rather than on a slot-by-slot basis. To facilitate discussion on DCI size alignment, we have</w:t>
      </w:r>
    </w:p>
    <w:p w14:paraId="54D98192" w14:textId="77777777" w:rsidR="00B978E0" w:rsidRPr="001B5BDF" w:rsidRDefault="00B978E0" w:rsidP="00B978E0">
      <w:pPr>
        <w:jc w:val="both"/>
        <w:rPr>
          <w:rFonts w:eastAsia="Batang"/>
          <w:color w:val="000000"/>
          <w:kern w:val="2"/>
          <w:sz w:val="20"/>
          <w:szCs w:val="20"/>
        </w:rPr>
      </w:pPr>
    </w:p>
    <w:p w14:paraId="374C94F5" w14:textId="1D7072F6" w:rsidR="00B978E0" w:rsidRPr="001B5BDF" w:rsidRDefault="00B978E0" w:rsidP="00B978E0">
      <w:pPr>
        <w:jc w:val="both"/>
        <w:rPr>
          <w:rFonts w:eastAsia="Batang"/>
          <w:b/>
          <w:bCs/>
          <w:color w:val="000000"/>
          <w:kern w:val="2"/>
          <w:sz w:val="20"/>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w:t>
      </w:r>
      <w:r>
        <w:rPr>
          <w:rFonts w:eastAsia="Batang"/>
          <w:i/>
          <w:iCs/>
          <w:color w:val="000000"/>
          <w:kern w:val="2"/>
          <w:sz w:val="20"/>
          <w:szCs w:val="20"/>
        </w:rPr>
        <w:t xml:space="preserve"> search spaces </w:t>
      </w:r>
      <w:r w:rsidR="00C37D41">
        <w:rPr>
          <w:rFonts w:eastAsia="Batang"/>
          <w:i/>
          <w:iCs/>
          <w:color w:val="000000"/>
          <w:kern w:val="2"/>
          <w:sz w:val="20"/>
          <w:szCs w:val="20"/>
        </w:rPr>
        <w:t xml:space="preserve">in </w:t>
      </w:r>
      <w:r w:rsidR="00C37D41" w:rsidRPr="001B5BDF">
        <w:rPr>
          <w:rFonts w:eastAsia="Batang"/>
          <w:i/>
          <w:iCs/>
          <w:color w:val="000000"/>
          <w:kern w:val="2"/>
          <w:sz w:val="20"/>
          <w:szCs w:val="20"/>
        </w:rPr>
        <w:t>a</w:t>
      </w:r>
      <w:r w:rsidRPr="001B5BDF">
        <w:rPr>
          <w:rFonts w:eastAsia="Batang"/>
          <w:i/>
          <w:iCs/>
          <w:color w:val="000000"/>
          <w:kern w:val="2"/>
          <w:sz w:val="20"/>
          <w:szCs w:val="20"/>
        </w:rPr>
        <w:t xml:space="preserve"> BWP across slots rather than on a slot-by-slot basis.</w:t>
      </w:r>
      <w:r w:rsidRPr="001B5BDF">
        <w:rPr>
          <w:rFonts w:eastAsia="Batang"/>
          <w:b/>
          <w:bCs/>
          <w:color w:val="000000"/>
          <w:kern w:val="2"/>
          <w:sz w:val="20"/>
          <w:szCs w:val="20"/>
        </w:rPr>
        <w:t xml:space="preserve">  </w:t>
      </w:r>
    </w:p>
    <w:p w14:paraId="0FFB4975" w14:textId="77777777" w:rsidR="00B978E0" w:rsidRDefault="00B978E0" w:rsidP="00B978E0">
      <w:pPr>
        <w:pStyle w:val="Heading1"/>
      </w:pPr>
      <w:r>
        <w:t>Conclusion</w:t>
      </w:r>
    </w:p>
    <w:p w14:paraId="363DC7CD" w14:textId="77777777" w:rsidR="00B978E0" w:rsidRDefault="00B978E0" w:rsidP="00B978E0">
      <w:pPr>
        <w:pStyle w:val="0Maintext"/>
        <w:spacing w:after="120" w:afterAutospacing="0" w:line="240" w:lineRule="auto"/>
        <w:ind w:firstLine="0"/>
        <w:rPr>
          <w:lang w:val="en-US"/>
        </w:rPr>
      </w:pPr>
      <w:r>
        <w:rPr>
          <w:lang w:val="en-US"/>
        </w:rPr>
        <w:t xml:space="preserve">In this contribution, we discussed the remaining issues for PDCCH enhancements in R16 </w:t>
      </w:r>
      <w:proofErr w:type="spellStart"/>
      <w:r>
        <w:rPr>
          <w:lang w:val="en-US"/>
        </w:rPr>
        <w:t>eURLLC</w:t>
      </w:r>
      <w:proofErr w:type="spellEnd"/>
      <w:r>
        <w:rPr>
          <w:lang w:val="en-US"/>
        </w:rPr>
        <w:t>. Based on the discussion, the following proposals have been made:</w:t>
      </w:r>
    </w:p>
    <w:p w14:paraId="7B26C315" w14:textId="77777777" w:rsidR="00B978E0" w:rsidRDefault="00B978E0" w:rsidP="00B978E0">
      <w:pPr>
        <w:jc w:val="both"/>
        <w:rPr>
          <w:rFonts w:eastAsia="Batang"/>
          <w:i/>
          <w:color w:val="000000"/>
          <w:kern w:val="2"/>
          <w:sz w:val="20"/>
          <w:szCs w:val="20"/>
          <w:lang w:val="en-GB"/>
        </w:rPr>
      </w:pPr>
      <w:r w:rsidRPr="002A4880">
        <w:rPr>
          <w:rFonts w:eastAsia="Batang"/>
          <w:b/>
          <w:bCs/>
          <w:i/>
          <w:color w:val="000000"/>
          <w:kern w:val="2"/>
          <w:sz w:val="20"/>
          <w:szCs w:val="20"/>
          <w:lang w:val="en-GB"/>
        </w:rPr>
        <w:t>Proposal 1</w:t>
      </w:r>
      <w:r>
        <w:rPr>
          <w:rFonts w:eastAsia="Batang"/>
          <w:i/>
          <w:color w:val="000000"/>
          <w:kern w:val="2"/>
          <w:sz w:val="20"/>
          <w:szCs w:val="20"/>
          <w:lang w:val="en-GB"/>
        </w:rPr>
        <w:t xml:space="preserve">: Modify the aligned/non-aligned span definition to account for all known cases. </w:t>
      </w:r>
    </w:p>
    <w:p w14:paraId="19170500" w14:textId="77777777" w:rsidR="00B978E0" w:rsidRDefault="00B978E0" w:rsidP="00B978E0">
      <w:pPr>
        <w:rPr>
          <w:rFonts w:eastAsia="Batang"/>
          <w:i/>
          <w:color w:val="000000"/>
          <w:kern w:val="2"/>
          <w:sz w:val="20"/>
          <w:szCs w:val="20"/>
        </w:rPr>
      </w:pPr>
    </w:p>
    <w:p w14:paraId="23279AF5" w14:textId="77777777" w:rsidR="00B978E0" w:rsidRDefault="00B978E0" w:rsidP="00B978E0">
      <w:pPr>
        <w:jc w:val="both"/>
        <w:rPr>
          <w:rFonts w:eastAsia="Batang"/>
          <w:i/>
          <w:color w:val="000000"/>
          <w:kern w:val="2"/>
          <w:sz w:val="20"/>
          <w:szCs w:val="20"/>
        </w:rPr>
      </w:pPr>
      <w:r w:rsidRPr="009C0131">
        <w:rPr>
          <w:rFonts w:eastAsia="Batang"/>
          <w:b/>
          <w:bCs/>
          <w:i/>
          <w:color w:val="000000"/>
          <w:kern w:val="2"/>
          <w:sz w:val="20"/>
          <w:szCs w:val="20"/>
        </w:rPr>
        <w:lastRenderedPageBreak/>
        <w:t>Proposal</w:t>
      </w:r>
      <w:r>
        <w:rPr>
          <w:rFonts w:eastAsia="Batang"/>
          <w:b/>
          <w:bCs/>
          <w:i/>
          <w:color w:val="000000"/>
          <w:kern w:val="2"/>
          <w:sz w:val="20"/>
          <w:szCs w:val="20"/>
        </w:rPr>
        <w:t xml:space="preserve"> 2</w:t>
      </w:r>
      <w:r w:rsidRPr="009C0131">
        <w:rPr>
          <w:rFonts w:eastAsia="Batang"/>
          <w:b/>
          <w:bCs/>
          <w:i/>
          <w:color w:val="000000"/>
          <w:kern w:val="2"/>
          <w:sz w:val="20"/>
          <w:szCs w:val="20"/>
        </w:rPr>
        <w:t>:</w:t>
      </w:r>
      <w:r>
        <w:rPr>
          <w:rFonts w:eastAsia="Batang"/>
          <w:i/>
          <w:color w:val="000000"/>
          <w:kern w:val="2"/>
          <w:sz w:val="20"/>
          <w:szCs w:val="20"/>
        </w:rPr>
        <w:t xml:space="preserve"> T</w:t>
      </w:r>
      <w:r w:rsidRPr="009C0131">
        <w:rPr>
          <w:rFonts w:eastAsia="Batang"/>
          <w:i/>
          <w:color w:val="000000"/>
          <w:kern w:val="2"/>
          <w:sz w:val="20"/>
          <w:szCs w:val="20"/>
        </w:rPr>
        <w:t xml:space="preserve">he </w:t>
      </w:r>
      <w:r>
        <w:rPr>
          <w:rFonts w:eastAsia="Batang"/>
          <w:i/>
          <w:iCs/>
          <w:color w:val="000000"/>
          <w:kern w:val="2"/>
          <w:sz w:val="20"/>
          <w:szCs w:val="20"/>
        </w:rPr>
        <w:t>c</w:t>
      </w:r>
      <w:r w:rsidRPr="006A3FF3">
        <w:rPr>
          <w:rFonts w:eastAsia="Batang"/>
          <w:i/>
          <w:iCs/>
          <w:color w:val="000000"/>
          <w:kern w:val="2"/>
          <w:sz w:val="20"/>
          <w:szCs w:val="20"/>
        </w:rPr>
        <w:t xml:space="preserve">apability </w:t>
      </w:r>
      <w:r>
        <w:rPr>
          <w:rFonts w:eastAsia="Batang"/>
          <w:i/>
          <w:iCs/>
          <w:color w:val="000000"/>
          <w:kern w:val="2"/>
          <w:sz w:val="20"/>
          <w:szCs w:val="20"/>
        </w:rPr>
        <w:t>s</w:t>
      </w:r>
      <w:r w:rsidRPr="006A3FF3">
        <w:rPr>
          <w:rFonts w:eastAsia="Batang"/>
          <w:i/>
          <w:iCs/>
          <w:color w:val="000000"/>
          <w:kern w:val="2"/>
          <w:sz w:val="20"/>
          <w:szCs w:val="20"/>
        </w:rPr>
        <w:t xml:space="preserve">caling for Carrier Aggregation </w:t>
      </w:r>
      <w:r w:rsidRPr="009C0131">
        <w:rPr>
          <w:rFonts w:eastAsia="Batang"/>
          <w:i/>
          <w:color w:val="000000"/>
          <w:kern w:val="2"/>
          <w:sz w:val="20"/>
          <w:szCs w:val="20"/>
        </w:rPr>
        <w:t>when the reported capability is less than the actual configured number of CCs should be extended to the multi-</w:t>
      </w:r>
      <w:r>
        <w:rPr>
          <w:rFonts w:eastAsia="Batang"/>
          <w:i/>
          <w:color w:val="000000"/>
          <w:kern w:val="2"/>
          <w:sz w:val="20"/>
          <w:szCs w:val="20"/>
        </w:rPr>
        <w:t>TRP</w:t>
      </w:r>
      <w:r w:rsidRPr="009C0131">
        <w:rPr>
          <w:rFonts w:eastAsia="Batang"/>
          <w:i/>
          <w:color w:val="000000"/>
          <w:kern w:val="2"/>
          <w:sz w:val="20"/>
          <w:szCs w:val="20"/>
        </w:rPr>
        <w:t xml:space="preserve"> case. </w:t>
      </w:r>
    </w:p>
    <w:p w14:paraId="41706732" w14:textId="77777777" w:rsidR="00B978E0" w:rsidRDefault="00B978E0" w:rsidP="00B978E0">
      <w:pPr>
        <w:jc w:val="both"/>
        <w:rPr>
          <w:rFonts w:eastAsia="Batang"/>
          <w:i/>
          <w:color w:val="000000"/>
          <w:kern w:val="2"/>
          <w:sz w:val="20"/>
          <w:szCs w:val="20"/>
        </w:rPr>
      </w:pPr>
    </w:p>
    <w:p w14:paraId="1033B9DD" w14:textId="77777777" w:rsidR="00B978E0" w:rsidRDefault="00B978E0" w:rsidP="00B978E0">
      <w:pPr>
        <w:jc w:val="both"/>
        <w:rPr>
          <w:rFonts w:eastAsia="Batang"/>
          <w:iCs/>
          <w:color w:val="000000"/>
          <w:kern w:val="2"/>
          <w:sz w:val="20"/>
          <w:szCs w:val="20"/>
          <w:lang w:val="en-GB"/>
        </w:rPr>
      </w:pPr>
      <w:r w:rsidRPr="00C66EB6">
        <w:rPr>
          <w:rFonts w:eastAsia="Batang"/>
          <w:b/>
          <w:bCs/>
          <w:iCs/>
          <w:color w:val="000000"/>
          <w:kern w:val="2"/>
          <w:sz w:val="20"/>
          <w:szCs w:val="20"/>
          <w:lang w:val="en-GB"/>
        </w:rPr>
        <w:t>Proposal 3</w:t>
      </w:r>
      <w:r>
        <w:rPr>
          <w:rFonts w:eastAsia="Batang"/>
          <w:iCs/>
          <w:color w:val="000000"/>
          <w:kern w:val="2"/>
          <w:sz w:val="20"/>
          <w:szCs w:val="20"/>
          <w:lang w:val="en-GB"/>
        </w:rPr>
        <w:t>:</w:t>
      </w:r>
    </w:p>
    <w:p w14:paraId="2B6E1ED1" w14:textId="77777777" w:rsidR="00B978E0" w:rsidRPr="00C66EB6" w:rsidRDefault="00B978E0" w:rsidP="00B978E0">
      <w:pPr>
        <w:jc w:val="both"/>
        <w:rPr>
          <w:rFonts w:eastAsia="Batang"/>
          <w:i/>
          <w:color w:val="000000"/>
          <w:kern w:val="2"/>
          <w:sz w:val="20"/>
          <w:szCs w:val="20"/>
          <w:lang w:val="en-GB"/>
        </w:rPr>
      </w:pPr>
      <w:r w:rsidRPr="00C66EB6">
        <w:rPr>
          <w:rFonts w:eastAsia="Batang"/>
          <w:i/>
          <w:color w:val="000000"/>
          <w:kern w:val="2"/>
          <w:sz w:val="20"/>
          <w:szCs w:val="20"/>
          <w:lang w:val="en-GB"/>
        </w:rPr>
        <w:t>For DCI size alignment with the introduction of the new DCI formats:</w:t>
      </w:r>
    </w:p>
    <w:p w14:paraId="3AA0EF00" w14:textId="77777777" w:rsidR="00B978E0" w:rsidRPr="00C66EB6" w:rsidRDefault="00B978E0" w:rsidP="00B978E0">
      <w:pPr>
        <w:pStyle w:val="ListParagraph"/>
        <w:numPr>
          <w:ilvl w:val="1"/>
          <w:numId w:val="3"/>
        </w:numPr>
        <w:autoSpaceDE w:val="0"/>
        <w:autoSpaceDN w:val="0"/>
        <w:adjustRightInd w:val="0"/>
        <w:snapToGrid w:val="0"/>
        <w:spacing w:after="120"/>
        <w:ind w:leftChars="0"/>
        <w:contextualSpacing/>
        <w:jc w:val="both"/>
        <w:rPr>
          <w:i/>
        </w:rPr>
      </w:pPr>
      <w:r w:rsidRPr="00C66EB6">
        <w:rPr>
          <w:i/>
        </w:rPr>
        <w:t xml:space="preserve">A UE is not expected to monitor a first decoding candidate with DCI format 0_0/1_0  and a second candidate with DCI format 0_2/1_2, where the two decoding candidates are mapped to the same resource and the DCI formats 0_0/1_0 and 0_2/1_2 have the same size.  </w:t>
      </w:r>
    </w:p>
    <w:p w14:paraId="4AFD99E2" w14:textId="77777777" w:rsidR="00B978E0" w:rsidRDefault="00B978E0" w:rsidP="00B978E0">
      <w:pPr>
        <w:pStyle w:val="ListParagraph"/>
        <w:numPr>
          <w:ilvl w:val="1"/>
          <w:numId w:val="3"/>
        </w:numPr>
        <w:autoSpaceDE w:val="0"/>
        <w:autoSpaceDN w:val="0"/>
        <w:adjustRightInd w:val="0"/>
        <w:snapToGrid w:val="0"/>
        <w:spacing w:after="120"/>
        <w:ind w:leftChars="0"/>
        <w:contextualSpacing/>
        <w:jc w:val="both"/>
        <w:rPr>
          <w:i/>
          <w:lang w:eastAsia="zh-CN"/>
        </w:rPr>
      </w:pPr>
      <w:r w:rsidRPr="00C66EB6">
        <w:rPr>
          <w:i/>
        </w:rPr>
        <w:t>A UE is not expected to monitor a first decoding candidate with DCI format 0_1/1_1  and a second candidate with DCI format 0_2/1_2, where the two decoding candidates are mapped to the same resource and the DCI formats 0_1/1_1 and 0_2/1_2 have the same size</w:t>
      </w:r>
      <w:r w:rsidRPr="00815132">
        <w:rPr>
          <w:i/>
        </w:rPr>
        <w:t xml:space="preserve">.  </w:t>
      </w:r>
    </w:p>
    <w:p w14:paraId="7E05467E" w14:textId="77777777" w:rsidR="00B978E0" w:rsidRPr="001B5BDF" w:rsidRDefault="00B978E0" w:rsidP="00B978E0">
      <w:pPr>
        <w:jc w:val="both"/>
        <w:rPr>
          <w:b/>
          <w:bCs/>
          <w:color w:val="000000"/>
          <w:kern w:val="2"/>
          <w:szCs w:val="20"/>
        </w:rPr>
      </w:pPr>
      <w:r w:rsidRPr="001B5BDF">
        <w:rPr>
          <w:rFonts w:eastAsia="Batang"/>
          <w:b/>
          <w:bCs/>
          <w:color w:val="000000"/>
          <w:kern w:val="2"/>
          <w:sz w:val="20"/>
          <w:szCs w:val="20"/>
        </w:rPr>
        <w:t xml:space="preserve">Proposal 4: </w:t>
      </w:r>
      <w:r w:rsidRPr="001B5BDF">
        <w:rPr>
          <w:rFonts w:eastAsia="Batang"/>
          <w:i/>
          <w:iCs/>
          <w:color w:val="000000"/>
          <w:kern w:val="2"/>
          <w:sz w:val="20"/>
          <w:szCs w:val="20"/>
        </w:rPr>
        <w:t>Note it in the chairman’s notes that DCI size alignment is conducted for a BWP across slots rather than on a slot-by-slot basis</w:t>
      </w:r>
      <w:r w:rsidRPr="001B5BDF">
        <w:rPr>
          <w:rFonts w:eastAsia="Batang"/>
          <w:color w:val="000000"/>
          <w:kern w:val="2"/>
          <w:sz w:val="20"/>
          <w:szCs w:val="20"/>
        </w:rPr>
        <w:t>.</w:t>
      </w:r>
      <w:r w:rsidRPr="001B5BDF">
        <w:rPr>
          <w:rFonts w:eastAsia="Batang"/>
          <w:b/>
          <w:bCs/>
          <w:color w:val="000000"/>
          <w:kern w:val="2"/>
          <w:sz w:val="20"/>
          <w:szCs w:val="20"/>
        </w:rPr>
        <w:t xml:space="preserve">  </w:t>
      </w:r>
    </w:p>
    <w:p w14:paraId="2B6E5659" w14:textId="77777777" w:rsidR="00B978E0" w:rsidRPr="001B5BDF" w:rsidRDefault="00B978E0" w:rsidP="00B978E0">
      <w:pPr>
        <w:autoSpaceDE w:val="0"/>
        <w:autoSpaceDN w:val="0"/>
        <w:adjustRightInd w:val="0"/>
        <w:snapToGrid w:val="0"/>
        <w:spacing w:after="120"/>
        <w:contextualSpacing/>
        <w:jc w:val="both"/>
        <w:rPr>
          <w:i/>
        </w:rPr>
      </w:pPr>
    </w:p>
    <w:p w14:paraId="42F35080" w14:textId="77777777" w:rsidR="00B978E0" w:rsidRDefault="00B978E0" w:rsidP="00B978E0">
      <w:pPr>
        <w:pStyle w:val="Heading1"/>
      </w:pPr>
      <w:r>
        <w:t>Reference</w:t>
      </w:r>
    </w:p>
    <w:p w14:paraId="0B6412DF" w14:textId="77777777" w:rsidR="00B978E0" w:rsidRPr="003447B8" w:rsidRDefault="00B978E0" w:rsidP="00B978E0">
      <w:pPr>
        <w:numPr>
          <w:ilvl w:val="0"/>
          <w:numId w:val="4"/>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31979218"/>
      <w:r>
        <w:rPr>
          <w:sz w:val="22"/>
          <w:szCs w:val="22"/>
        </w:rPr>
        <w:t>RAN1 #10-bis-e, Chairman’s Notes</w:t>
      </w:r>
      <w:bookmarkEnd w:id="2"/>
    </w:p>
    <w:p w14:paraId="1934BCB9" w14:textId="77777777" w:rsidR="00B978E0" w:rsidRPr="00F6391E" w:rsidRDefault="00B978E0" w:rsidP="00B978E0">
      <w:pPr>
        <w:numPr>
          <w:ilvl w:val="0"/>
          <w:numId w:val="4"/>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37258273"/>
      <w:bookmarkStart w:id="4" w:name="_Ref40415572"/>
      <w:r>
        <w:rPr>
          <w:sz w:val="22"/>
          <w:szCs w:val="22"/>
        </w:rPr>
        <w:t xml:space="preserve">R1-2001409, </w:t>
      </w:r>
      <w:r w:rsidRPr="003447B8">
        <w:rPr>
          <w:bCs/>
          <w:sz w:val="22"/>
          <w:szCs w:val="22"/>
        </w:rPr>
        <w:t xml:space="preserve">Summary of email discussion [100e-NR-L1enh_URLLC_PDCCH-03] on </w:t>
      </w:r>
      <w:r>
        <w:rPr>
          <w:bCs/>
          <w:sz w:val="22"/>
          <w:szCs w:val="22"/>
        </w:rPr>
        <w:t>r</w:t>
      </w:r>
      <w:r w:rsidRPr="003447B8">
        <w:rPr>
          <w:bCs/>
          <w:sz w:val="22"/>
          <w:szCs w:val="22"/>
        </w:rPr>
        <w:t>emaining issues on enhanced PDCCH monitoring capability</w:t>
      </w:r>
      <w:r>
        <w:rPr>
          <w:bCs/>
          <w:sz w:val="22"/>
          <w:szCs w:val="22"/>
        </w:rPr>
        <w:t>, Huawei, February 2020</w:t>
      </w:r>
      <w:bookmarkEnd w:id="3"/>
      <w:r>
        <w:rPr>
          <w:bCs/>
          <w:sz w:val="22"/>
          <w:szCs w:val="22"/>
        </w:rPr>
        <w:t>.</w:t>
      </w:r>
      <w:bookmarkEnd w:id="4"/>
    </w:p>
    <w:p w14:paraId="1738B22B" w14:textId="77777777" w:rsidR="00B978E0" w:rsidRPr="00E527A0" w:rsidRDefault="00B978E0" w:rsidP="00B978E0">
      <w:pPr>
        <w:numPr>
          <w:ilvl w:val="0"/>
          <w:numId w:val="4"/>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5" w:name="_Ref40415580"/>
      <w:r>
        <w:rPr>
          <w:bCs/>
          <w:sz w:val="22"/>
          <w:szCs w:val="22"/>
        </w:rPr>
        <w:t xml:space="preserve">R1-2003048, </w:t>
      </w:r>
      <w:r w:rsidRPr="00E527A0">
        <w:rPr>
          <w:bCs/>
          <w:sz w:val="22"/>
          <w:szCs w:val="22"/>
        </w:rPr>
        <w:t>Summary of email discussion [100e-NR-L1enh_URLLC_PDCCH-02] on remaining issues on scaling PDCCH monitoring capability</w:t>
      </w:r>
      <w:r>
        <w:rPr>
          <w:bCs/>
          <w:sz w:val="22"/>
          <w:szCs w:val="22"/>
        </w:rPr>
        <w:t>, Huawei, April 2020.</w:t>
      </w:r>
      <w:bookmarkEnd w:id="5"/>
      <w:r>
        <w:rPr>
          <w:bCs/>
          <w:sz w:val="22"/>
          <w:szCs w:val="22"/>
        </w:rPr>
        <w:t xml:space="preserve"> </w:t>
      </w:r>
    </w:p>
    <w:p w14:paraId="7517CE7F" w14:textId="77777777" w:rsidR="00B978E0" w:rsidRPr="006A3FF3" w:rsidRDefault="00B978E0" w:rsidP="00B978E0">
      <w:pPr>
        <w:numPr>
          <w:ilvl w:val="0"/>
          <w:numId w:val="4"/>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6" w:name="_Ref40415887"/>
      <w:r w:rsidRPr="00C70B20">
        <w:t>R1-2003049</w:t>
      </w:r>
      <w:r w:rsidRPr="00C24EEE">
        <w:rPr>
          <w:bCs/>
          <w:lang w:eastAsia="x-none"/>
        </w:rPr>
        <w:tab/>
      </w:r>
      <w:r>
        <w:t>Text proposal for TS 38.213 Section 10.1 on agreements in [100b-e-NR-L1enh-URLLC-PDCCH enhancements-02]</w:t>
      </w:r>
      <w:bookmarkEnd w:id="6"/>
      <w:r w:rsidRPr="00C24EEE">
        <w:rPr>
          <w:bCs/>
          <w:lang w:eastAsia="x-none"/>
        </w:rPr>
        <w:tab/>
      </w:r>
    </w:p>
    <w:p w14:paraId="2D59C4CA" w14:textId="77777777" w:rsidR="00B978E0" w:rsidRPr="006A3FF3" w:rsidRDefault="00B978E0" w:rsidP="00B978E0">
      <w:pPr>
        <w:numPr>
          <w:ilvl w:val="0"/>
          <w:numId w:val="4"/>
        </w:numPr>
        <w:overflowPunct w:val="0"/>
        <w:autoSpaceDE w:val="0"/>
        <w:autoSpaceDN w:val="0"/>
        <w:adjustRightInd w:val="0"/>
        <w:ind w:left="562" w:hanging="562"/>
        <w:textAlignment w:val="baseline"/>
        <w:rPr>
          <w:sz w:val="22"/>
          <w:szCs w:val="22"/>
        </w:rPr>
      </w:pPr>
      <w:bookmarkStart w:id="7" w:name="_Ref37384067"/>
      <w:r>
        <w:rPr>
          <w:sz w:val="22"/>
          <w:szCs w:val="22"/>
          <w:lang w:val="en-GB"/>
        </w:rPr>
        <w:t>38.</w:t>
      </w:r>
      <w:r w:rsidRPr="006A3FF3">
        <w:rPr>
          <w:sz w:val="22"/>
          <w:szCs w:val="22"/>
          <w:lang w:val="en-GB"/>
        </w:rPr>
        <w:t xml:space="preserve">213 </w:t>
      </w:r>
      <w:r w:rsidRPr="006A3FF3">
        <w:rPr>
          <w:sz w:val="22"/>
          <w:szCs w:val="22"/>
        </w:rPr>
        <w:t>5G NR Physical layer procedures for control</w:t>
      </w:r>
      <w:bookmarkEnd w:id="7"/>
    </w:p>
    <w:p w14:paraId="67DF4D86" w14:textId="77777777" w:rsidR="00B978E0" w:rsidRDefault="00B978E0" w:rsidP="00B978E0">
      <w:pPr>
        <w:pStyle w:val="0Maintext"/>
        <w:spacing w:after="120" w:afterAutospacing="0" w:line="240" w:lineRule="auto"/>
        <w:rPr>
          <w:lang w:val="en-US" w:eastAsia="zh-CN"/>
        </w:rPr>
      </w:pPr>
    </w:p>
    <w:p w14:paraId="7CAE0D34" w14:textId="77777777" w:rsidR="00B978E0" w:rsidRPr="00E55EB5" w:rsidRDefault="00B978E0" w:rsidP="00B978E0">
      <w:pPr>
        <w:pStyle w:val="0Maintext"/>
        <w:spacing w:after="120" w:afterAutospacing="0" w:line="240" w:lineRule="auto"/>
        <w:rPr>
          <w:lang w:val="en-US"/>
        </w:rPr>
      </w:pPr>
    </w:p>
    <w:p w14:paraId="0E80E4B6" w14:textId="77777777" w:rsidR="0030790F" w:rsidRDefault="0030790F"/>
    <w:sectPr w:rsidR="0030790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43165"/>
    <w:multiLevelType w:val="hybridMultilevel"/>
    <w:tmpl w:val="4060F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036797"/>
    <w:multiLevelType w:val="hybridMultilevel"/>
    <w:tmpl w:val="CB06528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4719467E"/>
    <w:multiLevelType w:val="hybridMultilevel"/>
    <w:tmpl w:val="E8BE7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A6F696A"/>
    <w:multiLevelType w:val="hybridMultilevel"/>
    <w:tmpl w:val="CE2AA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C714EF0"/>
    <w:multiLevelType w:val="hybridMultilevel"/>
    <w:tmpl w:val="1D849C08"/>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num w:numId="1">
    <w:abstractNumId w:val="1"/>
  </w:num>
  <w:num w:numId="2">
    <w:abstractNumId w:val="3"/>
  </w:num>
  <w:num w:numId="3">
    <w:abstractNumId w:val="2"/>
  </w:num>
  <w:num w:numId="4">
    <w:abstractNumId w:val="0"/>
  </w:num>
  <w:num w:numId="5">
    <w:abstractNumId w:val="5"/>
  </w:num>
  <w:num w:numId="6">
    <w:abstractNumId w:val="8"/>
  </w:num>
  <w:num w:numId="7">
    <w:abstractNumId w:val="4"/>
  </w:num>
  <w:num w:numId="8">
    <w:abstractNumId w:val="7"/>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8E0"/>
    <w:rsid w:val="0030790F"/>
    <w:rsid w:val="00857159"/>
    <w:rsid w:val="00B978E0"/>
    <w:rsid w:val="00C37D41"/>
    <w:rsid w:val="00D42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F55F9A"/>
  <w15:chartTrackingRefBased/>
  <w15:docId w15:val="{0EF881EE-DE21-E443-B089-22FCFB59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8E0"/>
    <w:rPr>
      <w:rFonts w:ascii="Times New Roman" w:eastAsia="Times New Roman" w:hAnsi="Times New Roman" w:cs="Times New Roman"/>
      <w:lang w:eastAsia="zh-CN"/>
    </w:rPr>
  </w:style>
  <w:style w:type="paragraph" w:styleId="Heading1">
    <w:name w:val="heading 1"/>
    <w:next w:val="Normal"/>
    <w:link w:val="Heading1Char"/>
    <w:qFormat/>
    <w:rsid w:val="00B978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B978E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978E0"/>
    <w:pPr>
      <w:numPr>
        <w:ilvl w:val="2"/>
      </w:numPr>
      <w:spacing w:before="120"/>
      <w:outlineLvl w:val="2"/>
    </w:pPr>
    <w:rPr>
      <w:sz w:val="28"/>
      <w:szCs w:val="28"/>
    </w:rPr>
  </w:style>
  <w:style w:type="paragraph" w:styleId="Heading4">
    <w:name w:val="heading 4"/>
    <w:basedOn w:val="Heading3"/>
    <w:next w:val="Normal"/>
    <w:link w:val="Heading4Char"/>
    <w:qFormat/>
    <w:rsid w:val="00B978E0"/>
    <w:pPr>
      <w:numPr>
        <w:ilvl w:val="3"/>
      </w:numPr>
      <w:outlineLvl w:val="3"/>
    </w:pPr>
    <w:rPr>
      <w:sz w:val="24"/>
      <w:szCs w:val="24"/>
    </w:rPr>
  </w:style>
  <w:style w:type="paragraph" w:styleId="Heading5">
    <w:name w:val="heading 5"/>
    <w:basedOn w:val="Heading4"/>
    <w:next w:val="Normal"/>
    <w:link w:val="Heading5Char"/>
    <w:qFormat/>
    <w:rsid w:val="00B978E0"/>
    <w:pPr>
      <w:numPr>
        <w:ilvl w:val="4"/>
      </w:numPr>
      <w:outlineLvl w:val="4"/>
    </w:pPr>
    <w:rPr>
      <w:sz w:val="22"/>
      <w:szCs w:val="22"/>
    </w:rPr>
  </w:style>
  <w:style w:type="paragraph" w:styleId="Heading6">
    <w:name w:val="heading 6"/>
    <w:basedOn w:val="Normal"/>
    <w:next w:val="Normal"/>
    <w:link w:val="Heading6Char"/>
    <w:qFormat/>
    <w:rsid w:val="00B978E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978E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978E0"/>
    <w:pPr>
      <w:numPr>
        <w:ilvl w:val="7"/>
      </w:numPr>
      <w:outlineLvl w:val="7"/>
    </w:pPr>
  </w:style>
  <w:style w:type="paragraph" w:styleId="Heading9">
    <w:name w:val="heading 9"/>
    <w:basedOn w:val="Heading8"/>
    <w:next w:val="Normal"/>
    <w:link w:val="Heading9Char"/>
    <w:qFormat/>
    <w:rsid w:val="00B97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8E0"/>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B978E0"/>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rsid w:val="00B978E0"/>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rsid w:val="00B978E0"/>
    <w:rPr>
      <w:rFonts w:ascii="Times New Roman" w:eastAsia="Malgun Gothic" w:hAnsi="Times New Roman" w:cs="Times New Roman"/>
      <w:lang w:eastAsia="zh-CN"/>
    </w:rPr>
  </w:style>
  <w:style w:type="character" w:customStyle="1" w:styleId="Heading5Char">
    <w:name w:val="Heading 5 Char"/>
    <w:basedOn w:val="DefaultParagraphFont"/>
    <w:link w:val="Heading5"/>
    <w:rsid w:val="00B978E0"/>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rsid w:val="00B978E0"/>
    <w:rPr>
      <w:rFonts w:ascii="Times New Roman" w:eastAsia="Times New Roman" w:hAnsi="Times New Roman" w:cs="Arial"/>
      <w:lang w:eastAsia="zh-CN"/>
    </w:rPr>
  </w:style>
  <w:style w:type="character" w:customStyle="1" w:styleId="Heading7Char">
    <w:name w:val="Heading 7 Char"/>
    <w:basedOn w:val="DefaultParagraphFont"/>
    <w:link w:val="Heading7"/>
    <w:rsid w:val="00B978E0"/>
    <w:rPr>
      <w:rFonts w:ascii="Times New Roman" w:eastAsia="Times New Roman" w:hAnsi="Times New Roman" w:cs="Arial"/>
      <w:lang w:eastAsia="zh-CN"/>
    </w:rPr>
  </w:style>
  <w:style w:type="character" w:customStyle="1" w:styleId="Heading8Char">
    <w:name w:val="Heading 8 Char"/>
    <w:basedOn w:val="DefaultParagraphFont"/>
    <w:link w:val="Heading8"/>
    <w:rsid w:val="00B978E0"/>
    <w:rPr>
      <w:rFonts w:ascii="Times New Roman" w:eastAsia="Times New Roman" w:hAnsi="Times New Roman" w:cs="Arial"/>
      <w:lang w:eastAsia="zh-CN"/>
    </w:rPr>
  </w:style>
  <w:style w:type="character" w:customStyle="1" w:styleId="Heading9Char">
    <w:name w:val="Heading 9 Char"/>
    <w:basedOn w:val="DefaultParagraphFont"/>
    <w:link w:val="Heading9"/>
    <w:rsid w:val="00B978E0"/>
    <w:rPr>
      <w:rFonts w:ascii="Times New Roman" w:eastAsia="Times New Roman" w:hAnsi="Times New Roman" w:cs="Arial"/>
      <w:lang w:eastAsia="zh-CN"/>
    </w:rPr>
  </w:style>
  <w:style w:type="paragraph" w:customStyle="1" w:styleId="3GPPHeader">
    <w:name w:val="3GPP_Header"/>
    <w:basedOn w:val="Normal"/>
    <w:rsid w:val="00B978E0"/>
    <w:pPr>
      <w:tabs>
        <w:tab w:val="left" w:pos="1701"/>
        <w:tab w:val="right" w:pos="9639"/>
      </w:tabs>
      <w:spacing w:after="240"/>
    </w:pPr>
    <w:rPr>
      <w:b/>
    </w:rPr>
  </w:style>
  <w:style w:type="paragraph" w:customStyle="1" w:styleId="0Maintext">
    <w:name w:val="0 Main text"/>
    <w:basedOn w:val="Normal"/>
    <w:link w:val="0MaintextChar"/>
    <w:qFormat/>
    <w:rsid w:val="00B978E0"/>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978E0"/>
    <w:rPr>
      <w:rFonts w:ascii="Times New Roman" w:eastAsia="Times New Roman" w:hAnsi="Times New Roman" w:cs="Batang"/>
      <w:sz w:val="20"/>
      <w:szCs w:val="20"/>
      <w:lang w:val="en-GB"/>
    </w:rPr>
  </w:style>
  <w:style w:type="table" w:styleId="TableGrid">
    <w:name w:val="Table Grid"/>
    <w:basedOn w:val="TableNormal"/>
    <w:qFormat/>
    <w:rsid w:val="00B978E0"/>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8E0"/>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B978E0"/>
    <w:rPr>
      <w:rFonts w:ascii="Times" w:eastAsia="Batang" w:hAnsi="Times" w:cs="Times New Roman"/>
      <w:sz w:val="20"/>
      <w:lang w:val="en-GB" w:eastAsia="x-none"/>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B978E0"/>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B978E0"/>
    <w:rPr>
      <w:rFonts w:ascii="Times New Roman" w:eastAsia="Times New Roman" w:hAnsi="Times New Roman" w:cs="Times New Roman"/>
      <w:b/>
      <w:bCs/>
      <w:lang w:eastAsia="zh-CN"/>
    </w:rPr>
  </w:style>
  <w:style w:type="character" w:customStyle="1" w:styleId="BodyTextChar">
    <w:name w:val="Body Text Char"/>
    <w:aliases w:val="bt Char"/>
    <w:basedOn w:val="DefaultParagraphFont"/>
    <w:link w:val="BodyText"/>
    <w:rsid w:val="00B978E0"/>
    <w:rPr>
      <w:rFonts w:ascii="Times" w:eastAsia="Batang" w:hAnsi="Times" w:cs="Times New Roman"/>
      <w:sz w:val="20"/>
      <w:lang w:val="en-GB"/>
    </w:rPr>
  </w:style>
  <w:style w:type="paragraph" w:styleId="BodyText">
    <w:name w:val="Body Text"/>
    <w:aliases w:val="bt"/>
    <w:basedOn w:val="Normal"/>
    <w:link w:val="BodyTextChar"/>
    <w:rsid w:val="00B978E0"/>
    <w:pPr>
      <w:spacing w:after="120"/>
      <w:ind w:left="1440" w:hanging="1440"/>
      <w:jc w:val="both"/>
    </w:pPr>
    <w:rPr>
      <w:rFonts w:ascii="Times" w:eastAsia="Batang" w:hAnsi="Times"/>
      <w:sz w:val="20"/>
      <w:lang w:val="en-GB" w:eastAsia="en-US"/>
    </w:rPr>
  </w:style>
  <w:style w:type="character" w:customStyle="1" w:styleId="BodyTextChar1">
    <w:name w:val="Body Text Char1"/>
    <w:basedOn w:val="DefaultParagraphFont"/>
    <w:uiPriority w:val="99"/>
    <w:semiHidden/>
    <w:rsid w:val="00B978E0"/>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2121</Words>
  <Characters>12092</Characters>
  <Application>Microsoft Office Word</Application>
  <DocSecurity>0</DocSecurity>
  <Lines>100</Lines>
  <Paragraphs>28</Paragraphs>
  <ScaleCrop>false</ScaleCrop>
  <Company/>
  <LinksUpToDate>false</LinksUpToDate>
  <CharactersWithSpaces>14185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dcterms:created xsi:type="dcterms:W3CDTF">2020-05-16T00:44:00Z</dcterms:created>
  <dcterms:modified xsi:type="dcterms:W3CDTF">2020-05-16T02:50:00Z</dcterms:modified>
</cp:coreProperties>
</file>